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B732" w14:textId="77777777" w:rsidR="002F2CDF" w:rsidRDefault="002F2CDF" w:rsidP="002F2CDF">
      <w:pPr>
        <w:pStyle w:val="Default"/>
        <w:tabs>
          <w:tab w:val="left" w:pos="2268"/>
        </w:tabs>
        <w:jc w:val="center"/>
        <w:rPr>
          <w:rFonts w:eastAsia="Calibri"/>
          <w:b/>
          <w:bCs/>
          <w:sz w:val="32"/>
          <w:szCs w:val="28"/>
        </w:rPr>
      </w:pPr>
    </w:p>
    <w:p w14:paraId="2E23DB5F" w14:textId="426CAB2F" w:rsidR="002D6396" w:rsidRPr="00B9564F" w:rsidRDefault="0055406C" w:rsidP="0055406C">
      <w:pPr>
        <w:pStyle w:val="Default"/>
        <w:tabs>
          <w:tab w:val="left" w:pos="5223"/>
        </w:tabs>
        <w:jc w:val="center"/>
        <w:rPr>
          <w:color w:val="000000" w:themeColor="text1"/>
          <w:sz w:val="20"/>
          <w:szCs w:val="20"/>
          <w:lang w:val="es-EC"/>
        </w:rPr>
      </w:pPr>
      <w:r w:rsidRPr="00B9564F">
        <w:rPr>
          <w:rFonts w:eastAsia="Calibri"/>
          <w:b/>
          <w:bCs/>
          <w:color w:val="000000" w:themeColor="text1"/>
          <w:sz w:val="32"/>
          <w:szCs w:val="28"/>
          <w:lang w:val="es-EC"/>
        </w:rPr>
        <w:t>Generación de electricidad e hidrógeno a partir de residuos alimentarios y vegetales – Análisis técnico y económico</w:t>
      </w:r>
    </w:p>
    <w:p w14:paraId="32782B43" w14:textId="77777777" w:rsidR="002F2CDF" w:rsidRPr="0055406C" w:rsidRDefault="002F2CDF" w:rsidP="002F2CDF">
      <w:pPr>
        <w:pStyle w:val="Default"/>
        <w:tabs>
          <w:tab w:val="left" w:pos="5223"/>
        </w:tabs>
        <w:rPr>
          <w:sz w:val="20"/>
          <w:szCs w:val="20"/>
          <w:lang w:val="es-EC"/>
        </w:rPr>
      </w:pPr>
    </w:p>
    <w:p w14:paraId="472069C7" w14:textId="77777777" w:rsidR="002F2CDF" w:rsidRPr="0055406C" w:rsidRDefault="002F2CDF" w:rsidP="002F2CDF">
      <w:pPr>
        <w:pStyle w:val="Default"/>
        <w:tabs>
          <w:tab w:val="left" w:pos="5223"/>
        </w:tabs>
        <w:rPr>
          <w:sz w:val="20"/>
          <w:szCs w:val="20"/>
          <w:lang w:val="es-EC"/>
        </w:rPr>
      </w:pPr>
    </w:p>
    <w:p w14:paraId="6D48490E" w14:textId="3F03E8B3" w:rsidR="002F2CDF" w:rsidRPr="00A86F8C" w:rsidRDefault="004D675D" w:rsidP="002F2CDF">
      <w:pPr>
        <w:pStyle w:val="Default"/>
        <w:jc w:val="center"/>
        <w:rPr>
          <w:sz w:val="20"/>
          <w:szCs w:val="20"/>
          <w:lang w:val="pt-BR"/>
        </w:rPr>
      </w:pPr>
      <w:r w:rsidRPr="004D675D">
        <w:rPr>
          <w:b/>
          <w:bCs/>
          <w:sz w:val="20"/>
          <w:szCs w:val="20"/>
          <w:lang w:val="pt-BR"/>
        </w:rPr>
        <w:t>Raul Pereira Micena</w:t>
      </w:r>
      <w:r w:rsidRPr="004D675D">
        <w:rPr>
          <w:b/>
          <w:bCs/>
          <w:sz w:val="20"/>
          <w:szCs w:val="20"/>
          <w:vertAlign w:val="superscript"/>
          <w:lang w:val="pt-BR"/>
        </w:rPr>
        <w:t>1</w:t>
      </w:r>
      <w:r w:rsidR="00D95A26">
        <w:rPr>
          <w:b/>
          <w:bCs/>
          <w:sz w:val="20"/>
          <w:szCs w:val="20"/>
          <w:vertAlign w:val="superscript"/>
          <w:lang w:val="pt-BR"/>
        </w:rPr>
        <w:t>,2</w:t>
      </w:r>
      <w:r w:rsidRPr="004D675D">
        <w:rPr>
          <w:b/>
          <w:bCs/>
          <w:sz w:val="20"/>
          <w:szCs w:val="20"/>
          <w:lang w:val="pt-BR"/>
        </w:rPr>
        <w:t>, Paulo Sérgio Duq</w:t>
      </w:r>
      <w:r>
        <w:rPr>
          <w:b/>
          <w:bCs/>
          <w:sz w:val="20"/>
          <w:szCs w:val="20"/>
          <w:lang w:val="pt-BR"/>
        </w:rPr>
        <w:t>ue de Brito</w:t>
      </w:r>
      <w:r w:rsidRPr="004D675D">
        <w:rPr>
          <w:b/>
          <w:bCs/>
          <w:sz w:val="20"/>
          <w:szCs w:val="20"/>
          <w:vertAlign w:val="superscript"/>
          <w:lang w:val="pt-BR"/>
        </w:rPr>
        <w:t>2</w:t>
      </w:r>
      <w:r>
        <w:rPr>
          <w:b/>
          <w:bCs/>
          <w:sz w:val="20"/>
          <w:szCs w:val="20"/>
          <w:lang w:val="pt-BR"/>
        </w:rPr>
        <w:t>, Celso Eduardo Tuna</w:t>
      </w:r>
      <w:r>
        <w:rPr>
          <w:b/>
          <w:bCs/>
          <w:sz w:val="20"/>
          <w:szCs w:val="20"/>
          <w:vertAlign w:val="superscript"/>
          <w:lang w:val="pt-BR"/>
        </w:rPr>
        <w:t>3</w:t>
      </w:r>
      <w:r>
        <w:rPr>
          <w:b/>
          <w:bCs/>
          <w:sz w:val="20"/>
          <w:szCs w:val="20"/>
          <w:lang w:val="pt-BR"/>
        </w:rPr>
        <w:t>, José Luz Silveira</w:t>
      </w:r>
      <w:r>
        <w:rPr>
          <w:b/>
          <w:bCs/>
          <w:sz w:val="20"/>
          <w:szCs w:val="20"/>
          <w:vertAlign w:val="superscript"/>
          <w:lang w:val="pt-BR"/>
        </w:rPr>
        <w:t>4</w:t>
      </w:r>
    </w:p>
    <w:p w14:paraId="092786C4" w14:textId="77777777" w:rsidR="002F2CDF" w:rsidRPr="00A86F8C" w:rsidRDefault="002F2CDF" w:rsidP="00D658B1">
      <w:pPr>
        <w:pStyle w:val="Default"/>
        <w:ind w:left="1416" w:hanging="1416"/>
        <w:jc w:val="center"/>
        <w:rPr>
          <w:sz w:val="20"/>
          <w:szCs w:val="20"/>
          <w:lang w:val="pt-BR"/>
        </w:rPr>
      </w:pPr>
    </w:p>
    <w:p w14:paraId="2CEF06F4" w14:textId="4CAFE959" w:rsidR="00A86F8C" w:rsidRDefault="00A86F8C" w:rsidP="00A86F8C">
      <w:pPr>
        <w:autoSpaceDE w:val="0"/>
        <w:autoSpaceDN w:val="0"/>
        <w:adjustRightInd w:val="0"/>
        <w:rPr>
          <w:color w:val="000000" w:themeColor="text1"/>
          <w:sz w:val="18"/>
          <w:szCs w:val="18"/>
          <w:lang w:val="pt-BR"/>
        </w:rPr>
      </w:pPr>
      <w:r w:rsidRPr="00B9564F">
        <w:rPr>
          <w:color w:val="000000" w:themeColor="text1"/>
          <w:sz w:val="18"/>
          <w:szCs w:val="18"/>
          <w:vertAlign w:val="superscript"/>
          <w:lang w:val="pt-BR"/>
        </w:rPr>
        <w:t>1</w:t>
      </w:r>
      <w:r w:rsidRPr="00B9564F">
        <w:rPr>
          <w:color w:val="000000" w:themeColor="text1"/>
          <w:sz w:val="18"/>
          <w:szCs w:val="18"/>
          <w:lang w:val="pt-BR"/>
        </w:rPr>
        <w:t xml:space="preserve"> </w:t>
      </w:r>
      <w:r w:rsidR="00617C58" w:rsidRPr="00B9564F">
        <w:rPr>
          <w:color w:val="000000" w:themeColor="text1"/>
          <w:sz w:val="18"/>
          <w:szCs w:val="18"/>
          <w:lang w:val="pt-BR"/>
        </w:rPr>
        <w:t xml:space="preserve">Laboratório de Otimização de Sistemas Energéticos (LOSE) / Instituto de Pesquisa em Bioenergia (IPBEN) – UNESP. </w:t>
      </w:r>
      <w:r w:rsidR="004D675D" w:rsidRPr="004D675D">
        <w:rPr>
          <w:color w:val="000000" w:themeColor="text1"/>
          <w:sz w:val="18"/>
          <w:szCs w:val="18"/>
          <w:lang w:val="pt-BR"/>
        </w:rPr>
        <w:t>raul.micena@unesp.br</w:t>
      </w:r>
    </w:p>
    <w:p w14:paraId="7FAFA6D1" w14:textId="3B9BDC57" w:rsidR="004D675D" w:rsidRPr="00B9564F" w:rsidRDefault="004D675D" w:rsidP="00A86F8C">
      <w:pPr>
        <w:autoSpaceDE w:val="0"/>
        <w:autoSpaceDN w:val="0"/>
        <w:adjustRightInd w:val="0"/>
        <w:rPr>
          <w:color w:val="000000" w:themeColor="text1"/>
          <w:sz w:val="18"/>
          <w:szCs w:val="18"/>
          <w:lang w:val="pt-BR"/>
        </w:rPr>
      </w:pPr>
      <w:r w:rsidRPr="004D675D">
        <w:rPr>
          <w:color w:val="000000" w:themeColor="text1"/>
          <w:sz w:val="18"/>
          <w:szCs w:val="18"/>
          <w:vertAlign w:val="superscript"/>
          <w:lang w:val="pt-BR"/>
        </w:rPr>
        <w:t>2</w:t>
      </w:r>
      <w:r w:rsidRPr="004D675D">
        <w:t xml:space="preserve"> </w:t>
      </w:r>
      <w:r w:rsidRPr="004D675D">
        <w:rPr>
          <w:color w:val="000000" w:themeColor="text1"/>
          <w:sz w:val="18"/>
          <w:szCs w:val="18"/>
          <w:lang w:val="pt-BR"/>
        </w:rPr>
        <w:t>VALORIZA-</w:t>
      </w:r>
      <w:proofErr w:type="spellStart"/>
      <w:r w:rsidRPr="004D675D">
        <w:rPr>
          <w:color w:val="000000" w:themeColor="text1"/>
          <w:sz w:val="18"/>
          <w:szCs w:val="18"/>
          <w:lang w:val="pt-BR"/>
        </w:rPr>
        <w:t>Research</w:t>
      </w:r>
      <w:proofErr w:type="spellEnd"/>
      <w:r w:rsidRPr="004D675D">
        <w:rPr>
          <w:color w:val="000000" w:themeColor="text1"/>
          <w:sz w:val="18"/>
          <w:szCs w:val="18"/>
          <w:lang w:val="pt-BR"/>
        </w:rPr>
        <w:t xml:space="preserve"> Center for </w:t>
      </w:r>
      <w:proofErr w:type="spellStart"/>
      <w:r w:rsidRPr="004D675D">
        <w:rPr>
          <w:color w:val="000000" w:themeColor="text1"/>
          <w:sz w:val="18"/>
          <w:szCs w:val="18"/>
          <w:lang w:val="pt-BR"/>
        </w:rPr>
        <w:t>Endogenous</w:t>
      </w:r>
      <w:proofErr w:type="spellEnd"/>
      <w:r w:rsidRPr="004D675D">
        <w:rPr>
          <w:color w:val="000000" w:themeColor="text1"/>
          <w:sz w:val="18"/>
          <w:szCs w:val="18"/>
          <w:lang w:val="pt-BR"/>
        </w:rPr>
        <w:t xml:space="preserve"> </w:t>
      </w:r>
      <w:proofErr w:type="spellStart"/>
      <w:r w:rsidRPr="004D675D">
        <w:rPr>
          <w:color w:val="000000" w:themeColor="text1"/>
          <w:sz w:val="18"/>
          <w:szCs w:val="18"/>
          <w:lang w:val="pt-BR"/>
        </w:rPr>
        <w:t>Resource</w:t>
      </w:r>
      <w:proofErr w:type="spellEnd"/>
      <w:r w:rsidRPr="004D675D">
        <w:rPr>
          <w:color w:val="000000" w:themeColor="text1"/>
          <w:sz w:val="18"/>
          <w:szCs w:val="18"/>
          <w:lang w:val="pt-BR"/>
        </w:rPr>
        <w:t xml:space="preserve"> </w:t>
      </w:r>
      <w:proofErr w:type="spellStart"/>
      <w:r w:rsidRPr="004D675D">
        <w:rPr>
          <w:color w:val="000000" w:themeColor="text1"/>
          <w:sz w:val="18"/>
          <w:szCs w:val="18"/>
          <w:lang w:val="pt-BR"/>
        </w:rPr>
        <w:t>Valorisation</w:t>
      </w:r>
      <w:proofErr w:type="spellEnd"/>
      <w:r w:rsidRPr="004D675D">
        <w:rPr>
          <w:color w:val="000000" w:themeColor="text1"/>
          <w:sz w:val="18"/>
          <w:szCs w:val="18"/>
          <w:lang w:val="pt-BR"/>
        </w:rPr>
        <w:t xml:space="preserve">, </w:t>
      </w:r>
      <w:proofErr w:type="spellStart"/>
      <w:r w:rsidRPr="004D675D">
        <w:rPr>
          <w:color w:val="000000" w:themeColor="text1"/>
          <w:sz w:val="18"/>
          <w:szCs w:val="18"/>
          <w:lang w:val="pt-BR"/>
        </w:rPr>
        <w:t>Polytechnic</w:t>
      </w:r>
      <w:proofErr w:type="spellEnd"/>
      <w:r w:rsidRPr="004D675D">
        <w:rPr>
          <w:color w:val="000000" w:themeColor="text1"/>
          <w:sz w:val="18"/>
          <w:szCs w:val="18"/>
          <w:lang w:val="pt-BR"/>
        </w:rPr>
        <w:t xml:space="preserve"> </w:t>
      </w:r>
      <w:proofErr w:type="spellStart"/>
      <w:r w:rsidRPr="004D675D">
        <w:rPr>
          <w:color w:val="000000" w:themeColor="text1"/>
          <w:sz w:val="18"/>
          <w:szCs w:val="18"/>
          <w:lang w:val="pt-BR"/>
        </w:rPr>
        <w:t>Institute</w:t>
      </w:r>
      <w:proofErr w:type="spellEnd"/>
      <w:r w:rsidRPr="004D675D">
        <w:rPr>
          <w:color w:val="000000" w:themeColor="text1"/>
          <w:sz w:val="18"/>
          <w:szCs w:val="18"/>
          <w:lang w:val="pt-BR"/>
        </w:rPr>
        <w:t xml:space="preserve"> </w:t>
      </w:r>
      <w:proofErr w:type="spellStart"/>
      <w:r w:rsidRPr="004D675D">
        <w:rPr>
          <w:color w:val="000000" w:themeColor="text1"/>
          <w:sz w:val="18"/>
          <w:szCs w:val="18"/>
          <w:lang w:val="pt-BR"/>
        </w:rPr>
        <w:t>of</w:t>
      </w:r>
      <w:proofErr w:type="spellEnd"/>
      <w:r w:rsidRPr="004D675D">
        <w:rPr>
          <w:color w:val="000000" w:themeColor="text1"/>
          <w:sz w:val="18"/>
          <w:szCs w:val="18"/>
          <w:lang w:val="pt-BR"/>
        </w:rPr>
        <w:t xml:space="preserve"> Portalegre, 7300-555 Portalegre, Portugal</w:t>
      </w:r>
      <w:r>
        <w:rPr>
          <w:color w:val="000000" w:themeColor="text1"/>
          <w:sz w:val="18"/>
          <w:szCs w:val="18"/>
          <w:lang w:val="pt-BR"/>
        </w:rPr>
        <w:t>.</w:t>
      </w:r>
    </w:p>
    <w:p w14:paraId="77E40A8E" w14:textId="1F3AE0EB" w:rsidR="00617C58" w:rsidRPr="00B9564F" w:rsidRDefault="004D675D" w:rsidP="00617C58">
      <w:pPr>
        <w:autoSpaceDE w:val="0"/>
        <w:autoSpaceDN w:val="0"/>
        <w:adjustRightInd w:val="0"/>
        <w:rPr>
          <w:color w:val="000000" w:themeColor="text1"/>
          <w:sz w:val="18"/>
          <w:szCs w:val="18"/>
          <w:lang w:val="pt-BR"/>
        </w:rPr>
      </w:pPr>
      <w:r>
        <w:rPr>
          <w:color w:val="000000" w:themeColor="text1"/>
          <w:sz w:val="18"/>
          <w:szCs w:val="18"/>
          <w:vertAlign w:val="superscript"/>
          <w:lang w:val="pt-BR"/>
        </w:rPr>
        <w:t>3</w:t>
      </w:r>
      <w:r w:rsidR="00617C58" w:rsidRPr="00B9564F">
        <w:rPr>
          <w:color w:val="000000" w:themeColor="text1"/>
          <w:sz w:val="18"/>
          <w:szCs w:val="18"/>
          <w:lang w:val="pt-BR"/>
        </w:rPr>
        <w:t xml:space="preserve"> Laboratório de Otimização de Sistemas Energéticos (LOSE) / Instituto de Pesquisa em Bioenergia (IPBEN) – UNESP. E-mail celso.tuna@unesp.br</w:t>
      </w:r>
    </w:p>
    <w:p w14:paraId="08FFCE58" w14:textId="34DFB906" w:rsidR="00A86F8C" w:rsidRPr="00B9564F" w:rsidRDefault="004D675D" w:rsidP="00A86F8C">
      <w:pPr>
        <w:rPr>
          <w:color w:val="000000" w:themeColor="text1"/>
          <w:sz w:val="18"/>
          <w:szCs w:val="18"/>
          <w:lang w:val="pt-BR"/>
        </w:rPr>
      </w:pPr>
      <w:r>
        <w:rPr>
          <w:color w:val="000000" w:themeColor="text1"/>
          <w:sz w:val="18"/>
          <w:szCs w:val="18"/>
          <w:vertAlign w:val="superscript"/>
          <w:lang w:val="pt-BR"/>
        </w:rPr>
        <w:t>4</w:t>
      </w:r>
      <w:r w:rsidR="00617C58" w:rsidRPr="00B9564F">
        <w:rPr>
          <w:color w:val="000000" w:themeColor="text1"/>
          <w:sz w:val="18"/>
          <w:szCs w:val="18"/>
          <w:lang w:val="pt-BR"/>
        </w:rPr>
        <w:t xml:space="preserve"> Instituto de Pesquisa em Bioenergia (IPBEN) – UNESP / Núcleo de Revalorização de Resíduos (REVALORES)</w:t>
      </w:r>
      <w:r w:rsidR="00A86F8C" w:rsidRPr="00B9564F">
        <w:rPr>
          <w:color w:val="000000" w:themeColor="text1"/>
          <w:sz w:val="18"/>
          <w:szCs w:val="18"/>
          <w:lang w:val="pt-BR"/>
        </w:rPr>
        <w:t xml:space="preserve">, </w:t>
      </w:r>
      <w:r w:rsidR="00617C58" w:rsidRPr="00B9564F">
        <w:rPr>
          <w:color w:val="000000" w:themeColor="text1"/>
          <w:sz w:val="18"/>
          <w:szCs w:val="18"/>
          <w:lang w:val="pt-BR"/>
        </w:rPr>
        <w:t>Universidade Federal do</w:t>
      </w:r>
      <w:r w:rsidR="00A86F8C" w:rsidRPr="00B9564F">
        <w:rPr>
          <w:color w:val="000000" w:themeColor="text1"/>
          <w:sz w:val="18"/>
          <w:szCs w:val="18"/>
          <w:lang w:val="pt-BR"/>
        </w:rPr>
        <w:t xml:space="preserve"> ABC (UFABC), Bra</w:t>
      </w:r>
      <w:r w:rsidR="00617C58" w:rsidRPr="00B9564F">
        <w:rPr>
          <w:color w:val="000000" w:themeColor="text1"/>
          <w:sz w:val="18"/>
          <w:szCs w:val="18"/>
          <w:lang w:val="pt-BR"/>
        </w:rPr>
        <w:t>s</w:t>
      </w:r>
      <w:r w:rsidR="00A86F8C" w:rsidRPr="00B9564F">
        <w:rPr>
          <w:color w:val="000000" w:themeColor="text1"/>
          <w:sz w:val="18"/>
          <w:szCs w:val="18"/>
          <w:lang w:val="pt-BR"/>
        </w:rPr>
        <w:t>il</w:t>
      </w:r>
      <w:r w:rsidR="00617C58" w:rsidRPr="00B9564F">
        <w:rPr>
          <w:color w:val="000000" w:themeColor="text1"/>
          <w:sz w:val="18"/>
          <w:szCs w:val="18"/>
          <w:lang w:val="pt-BR"/>
        </w:rPr>
        <w:t xml:space="preserve">. E-mail: </w:t>
      </w:r>
      <w:hyperlink r:id="rId8" w:history="1">
        <w:r w:rsidR="00B9564F" w:rsidRPr="00B9564F">
          <w:rPr>
            <w:color w:val="000000" w:themeColor="text1"/>
            <w:sz w:val="18"/>
            <w:szCs w:val="18"/>
            <w:lang w:val="pt-BR"/>
          </w:rPr>
          <w:t>jose.luz@unesp.br</w:t>
        </w:r>
      </w:hyperlink>
      <w:r w:rsidR="00B9564F" w:rsidRPr="00B9564F">
        <w:rPr>
          <w:color w:val="000000" w:themeColor="text1"/>
          <w:sz w:val="18"/>
          <w:szCs w:val="18"/>
          <w:lang w:val="pt-BR"/>
        </w:rPr>
        <w:t>; www.feg.unesp.br/ipben</w:t>
      </w:r>
    </w:p>
    <w:p w14:paraId="36E687F5" w14:textId="3D941B87" w:rsidR="000166CA" w:rsidRPr="00617C58" w:rsidRDefault="000166CA" w:rsidP="00425947">
      <w:pPr>
        <w:pStyle w:val="Default"/>
        <w:rPr>
          <w:bCs/>
          <w:sz w:val="18"/>
          <w:szCs w:val="16"/>
          <w:lang w:val="pt-BR"/>
        </w:rPr>
      </w:pPr>
    </w:p>
    <w:p w14:paraId="1FF9BC06" w14:textId="77777777" w:rsidR="00323F6E" w:rsidRPr="00617C58" w:rsidRDefault="00323F6E" w:rsidP="00130DAE">
      <w:pPr>
        <w:pStyle w:val="Default"/>
        <w:jc w:val="center"/>
        <w:rPr>
          <w:bCs/>
          <w:smallCaps/>
          <w:sz w:val="20"/>
          <w:szCs w:val="16"/>
          <w:lang w:val="pt-BR"/>
        </w:rPr>
      </w:pPr>
    </w:p>
    <w:p w14:paraId="45131A9C" w14:textId="77777777" w:rsidR="00D6669B" w:rsidRPr="00617C58" w:rsidRDefault="00D6669B" w:rsidP="00323F6E">
      <w:pPr>
        <w:pStyle w:val="Default"/>
        <w:rPr>
          <w:lang w:val="pt-BR"/>
        </w:rPr>
      </w:pPr>
    </w:p>
    <w:p w14:paraId="5D8858F4" w14:textId="77777777" w:rsidR="00E53539" w:rsidRPr="00617C58" w:rsidRDefault="00E53539" w:rsidP="00323F6E">
      <w:pPr>
        <w:pStyle w:val="Default"/>
        <w:rPr>
          <w:lang w:val="pt-BR"/>
        </w:rPr>
        <w:sectPr w:rsidR="00E53539" w:rsidRPr="00617C58" w:rsidSect="0073610A">
          <w:headerReference w:type="even" r:id="rId9"/>
          <w:headerReference w:type="default" r:id="rId10"/>
          <w:headerReference w:type="first" r:id="rId11"/>
          <w:type w:val="continuous"/>
          <w:pgSz w:w="11906" w:h="16838" w:code="9"/>
          <w:pgMar w:top="1934" w:right="1418" w:bottom="1418" w:left="1418" w:header="1064" w:footer="709" w:gutter="0"/>
          <w:cols w:space="708"/>
          <w:titlePg/>
          <w:docGrid w:linePitch="360"/>
        </w:sectPr>
      </w:pPr>
    </w:p>
    <w:p w14:paraId="720DE4D6" w14:textId="2DF2C6FD" w:rsidR="00E72566" w:rsidRPr="00E20CDC" w:rsidRDefault="00830C3B" w:rsidP="00E53539">
      <w:pPr>
        <w:pStyle w:val="Default"/>
        <w:rPr>
          <w:b/>
          <w:sz w:val="20"/>
          <w:szCs w:val="20"/>
          <w:lang w:val="pt-BR"/>
        </w:rPr>
      </w:pPr>
      <w:r w:rsidRPr="00E20CDC">
        <w:rPr>
          <w:b/>
          <w:bCs/>
          <w:sz w:val="20"/>
          <w:szCs w:val="20"/>
          <w:lang w:val="pt-BR"/>
        </w:rPr>
        <w:lastRenderedPageBreak/>
        <w:t>R</w:t>
      </w:r>
      <w:r w:rsidR="00905898" w:rsidRPr="00E20CDC">
        <w:rPr>
          <w:b/>
          <w:bCs/>
          <w:sz w:val="20"/>
          <w:szCs w:val="20"/>
          <w:lang w:val="pt-BR"/>
        </w:rPr>
        <w:t>esum</w:t>
      </w:r>
      <w:r w:rsidR="00C263F7">
        <w:rPr>
          <w:b/>
          <w:bCs/>
          <w:sz w:val="20"/>
          <w:szCs w:val="20"/>
          <w:lang w:val="pt-BR"/>
        </w:rPr>
        <w:t>o</w:t>
      </w:r>
    </w:p>
    <w:p w14:paraId="1A10CF3E" w14:textId="4203E715" w:rsidR="00E72566" w:rsidRPr="00E20CDC" w:rsidRDefault="00E72566" w:rsidP="00E72566">
      <w:pPr>
        <w:pStyle w:val="Default"/>
        <w:rPr>
          <w:sz w:val="20"/>
          <w:szCs w:val="20"/>
          <w:lang w:val="pt-BR"/>
        </w:rPr>
      </w:pPr>
    </w:p>
    <w:p w14:paraId="628347A1" w14:textId="7E53B0C7" w:rsidR="00845B18" w:rsidRDefault="00E20CDC" w:rsidP="00FB73A9">
      <w:pPr>
        <w:rPr>
          <w:rFonts w:cs="Times New Roman"/>
          <w:color w:val="000000" w:themeColor="text1"/>
          <w:lang w:val="pt-BR"/>
        </w:rPr>
      </w:pPr>
      <w:r w:rsidRPr="00E20CDC">
        <w:rPr>
          <w:rFonts w:cs="Times New Roman"/>
          <w:color w:val="000000" w:themeColor="text1"/>
          <w:lang w:val="pt-BR"/>
        </w:rPr>
        <w:t xml:space="preserve">A cidade de Guaratinguetá, Brasil, produz diariamente 104,4 toneladas de RSU, sendo 45,3% sua fração orgânica, e os demais se dividindo entre material reciclável e rejeitos sem aproveitamento. Com este dado e a composição gravimétrica do RSU, este estudo propõe o cálculo do potencial de produção de biogás a partir da digestão anaeróbia da Fração Orgânica do Resíduo Sólido Urbano (FORSU). Tal fração orgânica é composta </w:t>
      </w:r>
      <w:proofErr w:type="gramStart"/>
      <w:r w:rsidRPr="00E20CDC">
        <w:rPr>
          <w:rFonts w:cs="Times New Roman"/>
          <w:color w:val="000000" w:themeColor="text1"/>
          <w:lang w:val="pt-BR"/>
        </w:rPr>
        <w:t>principalmente</w:t>
      </w:r>
      <w:proofErr w:type="gramEnd"/>
      <w:r w:rsidRPr="00E20CDC">
        <w:rPr>
          <w:rFonts w:cs="Times New Roman"/>
          <w:color w:val="000000" w:themeColor="text1"/>
          <w:lang w:val="pt-BR"/>
        </w:rPr>
        <w:t xml:space="preserve"> de resíduos alimentares, como frutas e hortaliças, bem como papel e papelão, entre outros, sendo um composto apto a ser processado em um biodigestor. Com base em equações conhecidas, foi calculado um potencial de produção de 3.125 Nm3 de biogás por dia, ou 3.603 kg/dia. Considerando a combustão deste gás em uma turbina a gás, calculou-se um potencial de geração de eletricidade de 6,34 </w:t>
      </w:r>
      <w:proofErr w:type="spellStart"/>
      <w:r w:rsidRPr="00E20CDC">
        <w:rPr>
          <w:rFonts w:cs="Times New Roman"/>
          <w:color w:val="000000" w:themeColor="text1"/>
          <w:lang w:val="pt-BR"/>
        </w:rPr>
        <w:t>MWh</w:t>
      </w:r>
      <w:proofErr w:type="spellEnd"/>
      <w:r w:rsidRPr="00E20CDC">
        <w:rPr>
          <w:rFonts w:cs="Times New Roman"/>
          <w:color w:val="000000" w:themeColor="text1"/>
          <w:lang w:val="pt-BR"/>
        </w:rPr>
        <w:t>/dia. Considerando a utilização da totalidade deste potencial elétrico em um processo de eletrólise da água, foi calculado um potencial de produção de 107,4 kg/dia de hidrogênio eletrolítico. Por fim, é realizada a análise econômica da geração da eletricidade, considerando custos de investimento e manutenção da planta geradora, resultando em um custo de geração da energia elétrica entre 34,68 e 41,16 USD/</w:t>
      </w:r>
      <w:proofErr w:type="spellStart"/>
      <w:r w:rsidRPr="00E20CDC">
        <w:rPr>
          <w:rFonts w:cs="Times New Roman"/>
          <w:color w:val="000000" w:themeColor="text1"/>
          <w:lang w:val="pt-BR"/>
        </w:rPr>
        <w:t>MWh</w:t>
      </w:r>
      <w:proofErr w:type="spellEnd"/>
      <w:r w:rsidRPr="00E20CDC">
        <w:rPr>
          <w:rFonts w:cs="Times New Roman"/>
          <w:color w:val="000000" w:themeColor="text1"/>
          <w:lang w:val="pt-BR"/>
        </w:rPr>
        <w:t>, dependendo da taxa de juros aplicada. O payback do investimento em geração de eletricidade foi calculado entre o</w:t>
      </w:r>
      <w:r w:rsidR="00617C58">
        <w:rPr>
          <w:rFonts w:cs="Times New Roman"/>
          <w:color w:val="000000" w:themeColor="text1"/>
          <w:lang w:val="pt-BR"/>
        </w:rPr>
        <w:t>s anos</w:t>
      </w:r>
      <w:r w:rsidRPr="00E20CDC">
        <w:rPr>
          <w:rFonts w:cs="Times New Roman"/>
          <w:color w:val="000000" w:themeColor="text1"/>
          <w:lang w:val="pt-BR"/>
        </w:rPr>
        <w:t xml:space="preserve"> </w:t>
      </w:r>
      <w:r w:rsidR="00B97AC9">
        <w:rPr>
          <w:rFonts w:cs="Times New Roman"/>
          <w:color w:val="000000" w:themeColor="text1"/>
          <w:lang w:val="pt-BR"/>
        </w:rPr>
        <w:t>4</w:t>
      </w:r>
      <w:r w:rsidRPr="00E20CDC">
        <w:rPr>
          <w:rFonts w:cs="Times New Roman"/>
          <w:color w:val="000000" w:themeColor="text1"/>
          <w:lang w:val="pt-BR"/>
        </w:rPr>
        <w:t xml:space="preserve"> e </w:t>
      </w:r>
      <w:r w:rsidR="00B97AC9">
        <w:rPr>
          <w:rFonts w:cs="Times New Roman"/>
          <w:color w:val="000000" w:themeColor="text1"/>
          <w:lang w:val="pt-BR"/>
        </w:rPr>
        <w:t>5</w:t>
      </w:r>
      <w:r w:rsidRPr="00E20CDC">
        <w:rPr>
          <w:rFonts w:cs="Times New Roman"/>
          <w:color w:val="000000" w:themeColor="text1"/>
          <w:lang w:val="pt-BR"/>
        </w:rPr>
        <w:t xml:space="preserve">, considerando a tarifa elétrica local </w:t>
      </w:r>
      <w:proofErr w:type="gramStart"/>
      <w:r w:rsidRPr="00E20CDC">
        <w:rPr>
          <w:rFonts w:cs="Times New Roman"/>
          <w:color w:val="000000" w:themeColor="text1"/>
          <w:lang w:val="pt-BR"/>
        </w:rPr>
        <w:t xml:space="preserve">de  </w:t>
      </w:r>
      <w:r w:rsidR="00B97AC9">
        <w:rPr>
          <w:rFonts w:cs="Times New Roman"/>
          <w:color w:val="000000" w:themeColor="text1"/>
          <w:lang w:val="pt-BR"/>
        </w:rPr>
        <w:t>4</w:t>
      </w:r>
      <w:r w:rsidRPr="00E20CDC">
        <w:rPr>
          <w:rFonts w:cs="Times New Roman"/>
          <w:color w:val="000000" w:themeColor="text1"/>
          <w:lang w:val="pt-BR"/>
        </w:rPr>
        <w:t>3</w:t>
      </w:r>
      <w:proofErr w:type="gramEnd"/>
      <w:r w:rsidRPr="00E20CDC">
        <w:rPr>
          <w:rFonts w:cs="Times New Roman"/>
          <w:color w:val="000000" w:themeColor="text1"/>
          <w:lang w:val="pt-BR"/>
        </w:rPr>
        <w:t>,98 USD/</w:t>
      </w:r>
      <w:proofErr w:type="spellStart"/>
      <w:r w:rsidRPr="00E20CDC">
        <w:rPr>
          <w:rFonts w:cs="Times New Roman"/>
          <w:color w:val="000000" w:themeColor="text1"/>
          <w:lang w:val="pt-BR"/>
        </w:rPr>
        <w:t>MWh</w:t>
      </w:r>
      <w:proofErr w:type="spellEnd"/>
      <w:r w:rsidRPr="00E20CDC">
        <w:rPr>
          <w:rFonts w:cs="Times New Roman"/>
          <w:color w:val="000000" w:themeColor="text1"/>
          <w:lang w:val="pt-BR"/>
        </w:rPr>
        <w:t>.</w:t>
      </w:r>
    </w:p>
    <w:p w14:paraId="43BA74CB" w14:textId="77777777" w:rsidR="00E20CDC" w:rsidRPr="00A86F8C" w:rsidRDefault="00E20CDC" w:rsidP="00FB73A9">
      <w:pPr>
        <w:rPr>
          <w:lang w:val="pt-BR"/>
        </w:rPr>
      </w:pPr>
    </w:p>
    <w:p w14:paraId="70A85AF5" w14:textId="02EE5358" w:rsidR="009B4D5F" w:rsidRPr="00C263F7" w:rsidRDefault="0083008D" w:rsidP="00FB73A9">
      <w:pPr>
        <w:rPr>
          <w:lang w:val="pt-BR"/>
        </w:rPr>
      </w:pPr>
      <w:proofErr w:type="spellStart"/>
      <w:r w:rsidRPr="00C263F7">
        <w:rPr>
          <w:b/>
          <w:bCs/>
          <w:lang w:val="pt-BR"/>
        </w:rPr>
        <w:t>P</w:t>
      </w:r>
      <w:r w:rsidR="00905898" w:rsidRPr="00C263F7">
        <w:rPr>
          <w:b/>
          <w:bCs/>
          <w:lang w:val="pt-BR"/>
        </w:rPr>
        <w:t>alabras</w:t>
      </w:r>
      <w:proofErr w:type="spellEnd"/>
      <w:r w:rsidR="00905898" w:rsidRPr="00C263F7">
        <w:rPr>
          <w:b/>
          <w:bCs/>
          <w:lang w:val="pt-BR"/>
        </w:rPr>
        <w:t xml:space="preserve"> c</w:t>
      </w:r>
      <w:r w:rsidR="00C263F7" w:rsidRPr="00C263F7">
        <w:rPr>
          <w:b/>
          <w:bCs/>
          <w:lang w:val="pt-BR"/>
        </w:rPr>
        <w:t>have</w:t>
      </w:r>
      <w:r w:rsidR="00E72566" w:rsidRPr="00C263F7">
        <w:rPr>
          <w:b/>
          <w:lang w:val="pt-BR"/>
        </w:rPr>
        <w:t>:</w:t>
      </w:r>
      <w:r w:rsidR="00EE1D17" w:rsidRPr="00C263F7">
        <w:rPr>
          <w:b/>
          <w:lang w:val="pt-BR"/>
        </w:rPr>
        <w:t xml:space="preserve"> </w:t>
      </w:r>
      <w:r w:rsidR="00A86F8C" w:rsidRPr="00C263F7">
        <w:rPr>
          <w:rFonts w:cs="Times New Roman"/>
          <w:color w:val="000000" w:themeColor="text1"/>
          <w:lang w:val="pt-BR"/>
        </w:rPr>
        <w:t xml:space="preserve">resíduos sólidos urbanos; hortifrúti; biogás; geração de </w:t>
      </w:r>
      <w:proofErr w:type="spellStart"/>
      <w:r w:rsidR="00A86F8C" w:rsidRPr="00C263F7">
        <w:rPr>
          <w:rFonts w:cs="Times New Roman"/>
          <w:color w:val="000000" w:themeColor="text1"/>
          <w:lang w:val="pt-BR"/>
        </w:rPr>
        <w:t>energía</w:t>
      </w:r>
      <w:proofErr w:type="spellEnd"/>
      <w:r w:rsidR="00A86F8C" w:rsidRPr="00C263F7">
        <w:rPr>
          <w:rFonts w:cs="Times New Roman"/>
          <w:color w:val="000000" w:themeColor="text1"/>
          <w:lang w:val="pt-BR"/>
        </w:rPr>
        <w:t>; hidrogênio</w:t>
      </w:r>
      <w:r w:rsidR="009B4D5F" w:rsidRPr="00C263F7">
        <w:rPr>
          <w:lang w:val="pt-BR"/>
        </w:rPr>
        <w:t>.</w:t>
      </w:r>
    </w:p>
    <w:p w14:paraId="65B0EAD8" w14:textId="77777777" w:rsidR="00E53539" w:rsidRPr="00C263F7" w:rsidRDefault="00E53539" w:rsidP="00E34FCE">
      <w:pPr>
        <w:pStyle w:val="Default"/>
        <w:ind w:right="-232"/>
        <w:jc w:val="both"/>
        <w:rPr>
          <w:sz w:val="20"/>
          <w:lang w:val="pt-BR"/>
        </w:rPr>
      </w:pPr>
    </w:p>
    <w:p w14:paraId="357A92A6" w14:textId="77777777" w:rsidR="00845B18" w:rsidRPr="00C263F7" w:rsidRDefault="00845B18" w:rsidP="00E34FCE">
      <w:pPr>
        <w:pStyle w:val="Default"/>
        <w:ind w:right="-232"/>
        <w:jc w:val="both"/>
        <w:rPr>
          <w:sz w:val="20"/>
          <w:lang w:val="pt-BR"/>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2020BBC7" w14:textId="4CABF895" w:rsidR="00DC1CF5" w:rsidRDefault="00E20CDC" w:rsidP="00FB73A9">
      <w:pPr>
        <w:rPr>
          <w:lang w:val="en-US"/>
        </w:rPr>
      </w:pPr>
      <w:r w:rsidRPr="00E20CDC">
        <w:rPr>
          <w:lang w:val="en-US"/>
        </w:rPr>
        <w:t xml:space="preserve">The municipality of </w:t>
      </w:r>
      <w:proofErr w:type="spellStart"/>
      <w:r w:rsidRPr="00E20CDC">
        <w:rPr>
          <w:lang w:val="en-US"/>
        </w:rPr>
        <w:t>Guaratinguetá</w:t>
      </w:r>
      <w:proofErr w:type="spellEnd"/>
      <w:r w:rsidRPr="00E20CDC">
        <w:rPr>
          <w:lang w:val="en-US"/>
        </w:rPr>
        <w:t xml:space="preserve">, located in Brazil, produces 104.4 tons of MSW daily, 45.3% of which is its organic fraction, and the rest </w:t>
      </w:r>
      <w:proofErr w:type="gramStart"/>
      <w:r w:rsidRPr="00E20CDC">
        <w:rPr>
          <w:lang w:val="en-US"/>
        </w:rPr>
        <w:t>is divided</w:t>
      </w:r>
      <w:proofErr w:type="gramEnd"/>
      <w:r w:rsidRPr="00E20CDC">
        <w:rPr>
          <w:lang w:val="en-US"/>
        </w:rPr>
        <w:t xml:space="preserve"> between recyclable material and waste without use. With this data and the gravimetric composition of MSW, this study proposes the calculation of the biogas production potential from the anaerobic digestion of the Organic Fraction of Urban Solid Waste (</w:t>
      </w:r>
      <w:r>
        <w:rPr>
          <w:lang w:val="en-US"/>
        </w:rPr>
        <w:t>OFMSW</w:t>
      </w:r>
      <w:r w:rsidRPr="00E20CDC">
        <w:rPr>
          <w:lang w:val="en-US"/>
        </w:rPr>
        <w:t xml:space="preserve">). This organic fraction is mainly composed of food residues, such as fruits and vegetables, as well as paper and cardboard, among others, being a compound able to </w:t>
      </w:r>
      <w:proofErr w:type="gramStart"/>
      <w:r w:rsidRPr="00E20CDC">
        <w:rPr>
          <w:lang w:val="en-US"/>
        </w:rPr>
        <w:t>be processed</w:t>
      </w:r>
      <w:proofErr w:type="gramEnd"/>
      <w:r w:rsidRPr="00E20CDC">
        <w:rPr>
          <w:lang w:val="en-US"/>
        </w:rPr>
        <w:t xml:space="preserve"> in a </w:t>
      </w:r>
      <w:proofErr w:type="spellStart"/>
      <w:r w:rsidRPr="00E20CDC">
        <w:rPr>
          <w:lang w:val="en-US"/>
        </w:rPr>
        <w:t>biodigester</w:t>
      </w:r>
      <w:proofErr w:type="spellEnd"/>
      <w:r w:rsidRPr="00E20CDC">
        <w:rPr>
          <w:lang w:val="en-US"/>
        </w:rPr>
        <w:t xml:space="preserve">. Based on known equations, a production potential of 3,125 Nm3 of biogas per day, or 3,603 kg/day, was calculated. Considering the combustion of this gas in a gas turbine, an electricity generation potential of 6.34 </w:t>
      </w:r>
      <w:proofErr w:type="spellStart"/>
      <w:r w:rsidRPr="00E20CDC">
        <w:rPr>
          <w:lang w:val="en-US"/>
        </w:rPr>
        <w:t>MWh</w:t>
      </w:r>
      <w:proofErr w:type="spellEnd"/>
      <w:r w:rsidRPr="00E20CDC">
        <w:rPr>
          <w:lang w:val="en-US"/>
        </w:rPr>
        <w:t xml:space="preserve">/day was calculated. Considering the use of all this electrical potential in a water electrolysis process, a production potential of 107.4 kg/day of electrolytic hydrogen was calculated. Finally, an economic analysis of electricity generation </w:t>
      </w:r>
      <w:proofErr w:type="gramStart"/>
      <w:r w:rsidRPr="00E20CDC">
        <w:rPr>
          <w:lang w:val="en-US"/>
        </w:rPr>
        <w:t>is carried out,</w:t>
      </w:r>
      <w:proofErr w:type="gramEnd"/>
      <w:r w:rsidRPr="00E20CDC">
        <w:rPr>
          <w:lang w:val="en-US"/>
        </w:rPr>
        <w:t xml:space="preserve"> considering investment and maintenance costs of the generating plant, resulting in a cost of electricity generation between 34.68 and 41.16 USD/</w:t>
      </w:r>
      <w:proofErr w:type="spellStart"/>
      <w:r w:rsidRPr="00E20CDC">
        <w:rPr>
          <w:lang w:val="en-US"/>
        </w:rPr>
        <w:t>MWh</w:t>
      </w:r>
      <w:proofErr w:type="spellEnd"/>
      <w:r w:rsidRPr="00E20CDC">
        <w:rPr>
          <w:lang w:val="en-US"/>
        </w:rPr>
        <w:t xml:space="preserve">, depending on the interest rate applied. . The payback of the investment in electricity generation </w:t>
      </w:r>
      <w:proofErr w:type="gramStart"/>
      <w:r w:rsidRPr="00E20CDC">
        <w:rPr>
          <w:lang w:val="en-US"/>
        </w:rPr>
        <w:t>was calculated</w:t>
      </w:r>
      <w:proofErr w:type="gramEnd"/>
      <w:r w:rsidRPr="00E20CDC">
        <w:rPr>
          <w:lang w:val="en-US"/>
        </w:rPr>
        <w:t xml:space="preserve"> between 3 and 4 years, considering the local electricity tariff of 73.98 USD/</w:t>
      </w:r>
      <w:proofErr w:type="spellStart"/>
      <w:r w:rsidRPr="00E20CDC">
        <w:rPr>
          <w:lang w:val="en-US"/>
        </w:rPr>
        <w:t>MWh</w:t>
      </w:r>
      <w:proofErr w:type="spellEnd"/>
      <w:r w:rsidRPr="00E20CDC">
        <w:rPr>
          <w:lang w:val="en-US"/>
        </w:rPr>
        <w:t>.</w:t>
      </w:r>
    </w:p>
    <w:p w14:paraId="7273BAB5" w14:textId="77777777" w:rsidR="00E20CDC" w:rsidRDefault="00E20CDC" w:rsidP="00FB73A9">
      <w:pPr>
        <w:rPr>
          <w:rStyle w:val="hps"/>
          <w:rFonts w:cs="Times New Roman"/>
          <w:color w:val="000000"/>
          <w:lang w:val="en-GB"/>
        </w:rPr>
      </w:pPr>
    </w:p>
    <w:p w14:paraId="6FCE943A" w14:textId="70A67AA2"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DC1CF5" w:rsidRPr="00DC1CF5">
        <w:rPr>
          <w:lang w:val="en-US"/>
        </w:rPr>
        <w:t xml:space="preserve">urban solid waste; </w:t>
      </w:r>
      <w:proofErr w:type="spellStart"/>
      <w:r w:rsidR="00DC1CF5" w:rsidRPr="00DC1CF5">
        <w:rPr>
          <w:lang w:val="en-US"/>
        </w:rPr>
        <w:t>hortifruti</w:t>
      </w:r>
      <w:proofErr w:type="spellEnd"/>
      <w:r w:rsidR="00DC1CF5" w:rsidRPr="00DC1CF5">
        <w:rPr>
          <w:lang w:val="en-US"/>
        </w:rPr>
        <w:t>; biogas; power generation; hydrogen.</w:t>
      </w:r>
    </w:p>
    <w:p w14:paraId="70B7966B" w14:textId="77777777" w:rsidR="009A4D29" w:rsidRDefault="009A4D29" w:rsidP="00FB73A9">
      <w:pPr>
        <w:rPr>
          <w:color w:val="000000"/>
          <w:lang w:val="en-US"/>
        </w:rPr>
      </w:pPr>
    </w:p>
    <w:p w14:paraId="46B76469" w14:textId="796B266A" w:rsidR="00D6669B" w:rsidRDefault="00D6669B" w:rsidP="00FB73A9">
      <w:pPr>
        <w:rPr>
          <w:lang w:val="en-US"/>
        </w:rPr>
      </w:pPr>
    </w:p>
    <w:p w14:paraId="5DF00E8D" w14:textId="77777777" w:rsidR="0055406C" w:rsidRPr="0071178A" w:rsidRDefault="0055406C" w:rsidP="00FB73A9">
      <w:pPr>
        <w:rPr>
          <w:lang w:val="en-US"/>
        </w:rPr>
        <w:sectPr w:rsidR="0055406C" w:rsidRPr="0071178A" w:rsidSect="0073610A">
          <w:type w:val="continuous"/>
          <w:pgSz w:w="11906" w:h="16838" w:code="9"/>
          <w:pgMar w:top="1418" w:right="1418" w:bottom="1418" w:left="1418" w:header="1064" w:footer="709" w:gutter="0"/>
          <w:cols w:space="340"/>
          <w:docGrid w:linePitch="360"/>
        </w:sectPr>
      </w:pPr>
    </w:p>
    <w:p w14:paraId="1402EC07" w14:textId="3EFA35CC" w:rsidR="00D95A26" w:rsidRPr="00D95A26" w:rsidRDefault="0029245C" w:rsidP="00D95A26">
      <w:pPr>
        <w:pStyle w:val="Ttulo1"/>
        <w:keepNext/>
        <w:keepLines/>
        <w:numPr>
          <w:ilvl w:val="0"/>
          <w:numId w:val="26"/>
        </w:numPr>
        <w:spacing w:line="259" w:lineRule="auto"/>
        <w:contextualSpacing w:val="0"/>
        <w:jc w:val="left"/>
        <w:rPr>
          <w:color w:val="000000" w:themeColor="text1"/>
        </w:rPr>
      </w:pPr>
      <w:proofErr w:type="spellStart"/>
      <w:r w:rsidRPr="00E63A98">
        <w:rPr>
          <w:color w:val="000000" w:themeColor="text1"/>
        </w:rPr>
        <w:lastRenderedPageBreak/>
        <w:t>Introdução</w:t>
      </w:r>
      <w:proofErr w:type="spellEnd"/>
    </w:p>
    <w:p w14:paraId="20B7597C" w14:textId="77777777" w:rsidR="0029245C" w:rsidRPr="00E13DE6" w:rsidRDefault="0029245C" w:rsidP="0029245C">
      <w:pPr>
        <w:rPr>
          <w:rFonts w:cs="Times New Roman"/>
        </w:rPr>
      </w:pPr>
    </w:p>
    <w:p w14:paraId="34F0AB29" w14:textId="77777777" w:rsidR="0029245C" w:rsidRDefault="0029245C" w:rsidP="0029245C">
      <w:pPr>
        <w:rPr>
          <w:rFonts w:cs="Times New Roman"/>
          <w:color w:val="000000" w:themeColor="text1"/>
          <w:lang w:val="pt-BR"/>
        </w:rPr>
      </w:pPr>
      <w:r w:rsidRPr="0029245C">
        <w:rPr>
          <w:rFonts w:cs="Times New Roman"/>
          <w:color w:val="000000" w:themeColor="text1"/>
          <w:lang w:val="pt-BR"/>
        </w:rPr>
        <w:t xml:space="preserve">Em 2018 no Brasil foram gerados 216 mil toneladas diárias de Resíduos Sólidos Urbanos (RSU), aproximadamente 1,03 kg/habitante/dia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{"citationItems":[{"id":"ITEM-1","itemData":{"author":[{"dropping-particle":"","family":"ABRELPE","given":"","non-dropping-particle":"","parse-names":false,"suffix":""}],"id":"ITEM-1","issued":{"date-parts":[["2020"]]},"title":"PANORAMA DOS RESIDUOS SÓLIDOS NO BRASIL 2020","type":"report"},"uris":["http://www.mendeley.com/documents/?uuid=dedd3555-cd77-35e1-b70f-67774701d357"]}],"mendeley":{"formattedCitation":"[1]","plainTextFormattedCitation":"[1]","previouslyFormattedCitation":"[1]"},"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w:t>
      </w:r>
      <w:r w:rsidRPr="00E63A98">
        <w:rPr>
          <w:rFonts w:cs="Times New Roman"/>
          <w:color w:val="000000" w:themeColor="text1"/>
        </w:rPr>
        <w:fldChar w:fldCharType="end"/>
      </w:r>
      <w:r w:rsidRPr="0029245C">
        <w:rPr>
          <w:rFonts w:cs="Times New Roman"/>
          <w:color w:val="000000" w:themeColor="text1"/>
          <w:lang w:val="pt-BR"/>
        </w:rPr>
        <w:t xml:space="preserve">. Desse total, 92% foram devidamente coletados. Cerca de 40% dos RSU coletados em 2018 foram depositados inapropriadamente em lixões a céu aberto, sendo que 53% dos municípios destinaram seus RSU em lixões a céu aberto ou em aterros controlados, enquanto que 46,1% depositavam em aterros sanitários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{"citationItems":[{"id":"ITEM-1","itemData":{"ISBN":"9786588265154","author":[{"dropping-particle":"","family":"Ministério do Meio Ambiente","given":"","non-dropping-particle":"","parse-names":false,"suffix":""}],"id":"ITEM-1","issued":{"date-parts":[["2022"]]},"title":"PLANO NACIONAL\nDE RESÍDUOS SÓLIDOS","type":"report"},"uris":["http://www.mendeley.com/documents/?uuid=5402359e-6ce1-3239-9b8b-fa0a92c75337"]}],"mendeley":{"formattedCitation":"[2]","plainTextFormattedCitation":"[2]","previouslyFormattedCitation":"[2]"},"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[2]</w:t>
      </w:r>
      <w:r w:rsidRPr="00E63A98">
        <w:rPr>
          <w:rFonts w:cs="Times New Roman"/>
          <w:color w:val="000000" w:themeColor="text1"/>
        </w:rPr>
        <w:fldChar w:fldCharType="end"/>
      </w:r>
      <w:r w:rsidRPr="0029245C">
        <w:rPr>
          <w:rFonts w:cs="Times New Roman"/>
          <w:color w:val="000000" w:themeColor="text1"/>
          <w:lang w:val="pt-BR"/>
        </w:rPr>
        <w:t xml:space="preserve">. </w:t>
      </w:r>
    </w:p>
    <w:p w14:paraId="7AC201ED" w14:textId="77777777" w:rsidR="0029245C" w:rsidRPr="0029245C" w:rsidRDefault="0029245C" w:rsidP="0029245C">
      <w:pPr>
        <w:rPr>
          <w:rFonts w:cs="Times New Roman"/>
          <w:color w:val="000000" w:themeColor="text1"/>
          <w:lang w:val="pt-BR"/>
        </w:rPr>
      </w:pPr>
    </w:p>
    <w:p w14:paraId="0FE317D1" w14:textId="77777777" w:rsidR="0029245C" w:rsidRDefault="0029245C" w:rsidP="0029245C">
      <w:pPr>
        <w:rPr>
          <w:rFonts w:cs="Times New Roman"/>
          <w:color w:val="000000" w:themeColor="text1"/>
          <w:lang w:val="pt-BR"/>
        </w:rPr>
      </w:pPr>
      <w:r w:rsidRPr="0029245C">
        <w:rPr>
          <w:rFonts w:cs="Times New Roman"/>
          <w:color w:val="000000" w:themeColor="text1"/>
          <w:lang w:val="pt-BR"/>
        </w:rPr>
        <w:t xml:space="preserve">Quando não depositado corretamente, é responsável por problemas ambientais, como poluição dos lençóis aquáticos com metais pesados e chorume, além da emissão de gás metano na atmosfera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{"citationItems":[{"id":"ITEM-1","itemData":{"DOI":"10.1016/J.RENENE.2021.06.107","ISSN":"0960-1481","abstract":"In this study, projections and current status of municipal solid waste generation worldwide and its collection, final destination, and waste-to-energy technologies are reviewed. Firstly, an overview of waste generation worldwide is presented comparing income levels and the material composition of residues in several regions. This paper focused on contrasting Brazil and Portugal in terms of waste production and its management from generation to disposal or treatment. Furthermore, it is presented a summary of leading waste-to-energy technologies such as incineration, anaerobic digestion, gasification, pyrolysis, co-combustion, co-gasification, among others. Technical aspects of these thermo-chemical, biological, and physic-chemical processes for the production of biofuels such as biogas, syngas, biodiesel, and hydrogen-enriched gases are presented. Additionally, current aspects of the waste-to-energy market are exposed regarding the major players, investments, and expectations for the future of this activity with the elaboration of SWOT analyses. Finally, a review of greenhouse gases emissions worldwide is presented, specifically from Brazil and Portugal, as well as some consequences of these pollutant gases on the society and the environment and which are the main technologies for carbon dioxide capturing and sequestration as promising solutions for lower pollutant gases concentration in the atmosphere. This review paper aims to provide information for the management of municipal solid waste in Brazil and Portugal considering the mutual objective of meeting sustainable development goals.","author":[{"dropping-particle":"","family":"Ferraz de Campos","given":"Victor Arruda","non-dropping-particle":"","parse-names":false,"suffix":""},{"dropping-particle":"","family":"Silva","given":"Valter Bruno","non-dropping-particle":"","parse-names":false,"suffix":""},{"dropping-particle":"","family":"Cardoso","given":"João Sousa","non-dropping-particle":"","parse-names":false,"suffix":""},{"dropping-particle":"","family":"Brito","given":"Paulo S.","non-dropping-particle":"","parse-names":false,"suffix":""},{"dropping-particle":"","family":"Tuna","given":"Celso Eduardo","non-dropping-particle":"","parse-names":false,"suffix":""},{"dropping-particle":"","family":"Silveira","given":"José Luz","non-dropping-particle":"","parse-names":false,"suffix":""}],"container-title":"Renewable Energy","id":"ITEM-1","issued":{"date-parts":[["2021","11","1"]]},"page":"802-820","publisher":"Pergamon","title":"A review of waste management in Brazil and Portugal: Waste-to-energy as pathway for sustainable development","type":"article-journal","volume":"178"},"uris":["http://www.mendeley.com/documents/?uuid=6c58b976-e593-303d-be02-c8b804e24c50"]}],"mendeley":{"formattedCitation":"[3]","plainTextFormattedCitation":"[3]","previouslyFormattedCitation":"[3]"},"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[3]</w:t>
      </w:r>
      <w:r w:rsidRPr="00E63A98">
        <w:rPr>
          <w:rFonts w:cs="Times New Roman"/>
          <w:color w:val="000000" w:themeColor="text1"/>
        </w:rPr>
        <w:fldChar w:fldCharType="end"/>
      </w:r>
      <w:r w:rsidRPr="0029245C">
        <w:rPr>
          <w:rFonts w:cs="Times New Roman"/>
          <w:color w:val="000000" w:themeColor="text1"/>
          <w:lang w:val="pt-BR"/>
        </w:rPr>
        <w:t xml:space="preserve">, cujo potencial de aquecimento global é pelo menos 25 vezes maior que o do dióxido de carbono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{"citationItems":[{"id":"ITEM-1","itemData":{"DOI":"10.1016/J.JCLEPRO.2020.121432","ISSN":"0959-6526","abstract":"Municipal solid waste (MSW) mainly consists of degradable materials, which cause a significant increase in greenhouse gas (GHG) emissions. The purpose of this study is to conduct a comprehensive analysis of GHG reductions and energy recovery potentials from MSW in Dammam, Kingdom of Saudi Arabia (KSA). To achieve this purpose, the amount of generated landfill gas (LFG), the potential of energy recovery, and the environmental impacts in terms of GHG emissions were investigated. The methodology includes three waste management scenarios: i) a material recovery facility (MRF) with composting, ii) landfilling, and iii) incineration (waste-to-energy WtE). The Intergovernmental Panel on Climate Change (IPCC), LandGEM, and iWARM of Environmental Protection Agency (EPA) models were used to estimate GHG emissions, mitigation, and energy recovery. The results showed that scenarios 1 and 3 generated the least amount of GHG emissions of −2,142,618 tCO2-eq/yr and −287,873 tCO2-eq/yr, respectively. The global warming potentials (GWPs) for three scenarios revealed that the highest GHG reduction per ton of MSW was from scenario 1 (−1.091 tCO2-eq/t MSW) followed by scenario 3 (−0.147 tCO2-eq/t MSW) whereas scenario 2 generated a net GHG emission of +0.265 tCO2-eq/t MSW. Furthermore, the incineration option in scenario 3 would generate, on average, about 1.91 × 109 kWh/yr electricity, which could reduce fossil fuel usage by 1.12 × 106 barrels per year. The outcomes contribute to establishing strategy of cleaner energy production throughout the reduction of GHG emissions and energy recovery from MSW.","author":[{"dropping-particle":"","family":"Yaman","given":"Cevat","non-dropping-particle":"","parse-names":false,"suffix":""},{"dropping-particle":"","family":"Anil","given":"Ismail","non-dropping-particle":"","parse-names":false,"suffix":""},{"dropping-particle":"","family":"Alagha","given":"Omar","non-dropping-particle":"","parse-names":false,"suffix":""}],"container-title":"Journal of Cleaner Production","id":"ITEM-1","issued":{"date-parts":[["2020","8","10"]]},"page":"121432","publisher":"Elsevier","title":"Potential for greenhouse gas reduction and energy recovery from MSW through different waste management technologies","type":"article-journal","volume":"264"},"uris":["http://www.mendeley.com/documents/?uuid=9a7755a9-cf13-3d20-a7bc-866415e4f9b7"]}],"mendeley":{"formattedCitation":"[4]","plainTextFormattedCitation":"[4]","previouslyFormattedCitation":"[4]"},"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[4]</w:t>
      </w:r>
      <w:r w:rsidRPr="00E63A98">
        <w:rPr>
          <w:rFonts w:cs="Times New Roman"/>
          <w:color w:val="000000" w:themeColor="text1"/>
        </w:rPr>
        <w:fldChar w:fldCharType="end"/>
      </w:r>
      <w:r w:rsidRPr="0029245C">
        <w:rPr>
          <w:rFonts w:cs="Times New Roman"/>
          <w:color w:val="000000" w:themeColor="text1"/>
          <w:lang w:val="pt-BR"/>
        </w:rPr>
        <w:t xml:space="preserve">.  </w:t>
      </w:r>
    </w:p>
    <w:p w14:paraId="6327EC0D" w14:textId="2B7C3CC7" w:rsidR="0029245C" w:rsidRPr="0029245C" w:rsidRDefault="0029245C" w:rsidP="0029245C">
      <w:pPr>
        <w:rPr>
          <w:rFonts w:cs="Times New Roman"/>
          <w:color w:val="000000" w:themeColor="text1"/>
          <w:lang w:val="pt-BR"/>
        </w:rPr>
      </w:pPr>
    </w:p>
    <w:p w14:paraId="16157130" w14:textId="001809EA" w:rsidR="0029245C" w:rsidRDefault="0029245C" w:rsidP="0029245C">
      <w:pPr>
        <w:rPr>
          <w:rFonts w:cs="Times New Roman"/>
          <w:color w:val="000000" w:themeColor="text1"/>
          <w:lang w:val="pt-BR"/>
        </w:rPr>
      </w:pPr>
      <w:r w:rsidRPr="0029245C">
        <w:rPr>
          <w:rFonts w:cs="Times New Roman"/>
          <w:color w:val="000000" w:themeColor="text1"/>
          <w:lang w:val="pt-BR"/>
        </w:rPr>
        <w:t xml:space="preserve">Ainda quando depositados nos aterros sanitários, como acontece na maior parte das vezes, é perdida grande parte do material reciclável, se tornando praticamente irrecuperáveis. Nestes locais, além das proteções ao solo e subsolo, com captação e tratamento do chorume, costuma-se haver uma drenagem e queima do biogás gerado pela decomposição anaeróbia da matéria orgânica contida nestes resíduos. Na maioria das vezes, esta queima se dá em </w:t>
      </w:r>
      <w:proofErr w:type="spellStart"/>
      <w:r w:rsidRPr="00D6608E">
        <w:rPr>
          <w:rFonts w:cs="Times New Roman"/>
          <w:i/>
          <w:color w:val="000000" w:themeColor="text1"/>
          <w:lang w:val="pt-BR"/>
        </w:rPr>
        <w:t>flares</w:t>
      </w:r>
      <w:proofErr w:type="spellEnd"/>
      <w:r w:rsidRPr="0029245C">
        <w:rPr>
          <w:rFonts w:cs="Times New Roman"/>
          <w:color w:val="000000" w:themeColor="text1"/>
          <w:lang w:val="pt-BR"/>
        </w:rPr>
        <w:t>, sem qualquer aproveitamento energético desta combustão.</w:t>
      </w:r>
    </w:p>
    <w:p w14:paraId="100ECB41" w14:textId="324D9DA2" w:rsidR="0051388C" w:rsidRDefault="0051388C" w:rsidP="0029245C">
      <w:pPr>
        <w:rPr>
          <w:rFonts w:cs="Times New Roman"/>
          <w:color w:val="000000" w:themeColor="text1"/>
          <w:lang w:val="pt-BR"/>
        </w:rPr>
      </w:pPr>
      <w:r w:rsidRPr="0051388C">
        <w:rPr>
          <w:rFonts w:cs="Times New Roman"/>
          <w:noProof/>
          <w:color w:val="000000" w:themeColor="text1"/>
          <w:lang w:val="pt-BR" w:eastAsia="pt-BR"/>
        </w:rPr>
        <mc:AlternateContent>
          <mc:Choice Requires="wps">
            <w:drawing>
              <wp:anchor distT="0" distB="0" distL="114300" distR="114300" simplePos="0" relativeHeight="251659264" behindDoc="0" locked="0" layoutInCell="1" allowOverlap="1" wp14:anchorId="40DDB7F7" wp14:editId="68E420FB">
                <wp:simplePos x="0" y="0"/>
                <wp:positionH relativeFrom="column">
                  <wp:posOffset>1206500</wp:posOffset>
                </wp:positionH>
                <wp:positionV relativeFrom="paragraph">
                  <wp:posOffset>400050</wp:posOffset>
                </wp:positionV>
                <wp:extent cx="2827020" cy="1403985"/>
                <wp:effectExtent l="0" t="0" r="0" b="1270"/>
                <wp:wrapTopAndBottom/>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403985"/>
                        </a:xfrm>
                        <a:prstGeom prst="rect">
                          <a:avLst/>
                        </a:prstGeom>
                        <a:solidFill>
                          <a:srgbClr val="FFFFFF"/>
                        </a:solidFill>
                        <a:ln w="9525">
                          <a:noFill/>
                          <a:miter lim="800000"/>
                          <a:headEnd/>
                          <a:tailEnd/>
                        </a:ln>
                      </wps:spPr>
                      <wps:txbx>
                        <w:txbxContent>
                          <w:p w14:paraId="0A3E2BDB" w14:textId="77777777" w:rsidR="0055406C" w:rsidRDefault="0055406C" w:rsidP="0051388C">
                            <w:pPr>
                              <w:jc w:val="center"/>
                              <w:rPr>
                                <w:rFonts w:cs="Times New Roman"/>
                                <w:color w:val="000000" w:themeColor="text1"/>
                                <w:lang w:val="pt-BR"/>
                              </w:rPr>
                            </w:pPr>
                            <w:r w:rsidRPr="0029245C">
                              <w:rPr>
                                <w:rFonts w:cs="Times New Roman"/>
                                <w:color w:val="000000" w:themeColor="text1"/>
                                <w:lang w:val="pt-BR"/>
                              </w:rPr>
                              <w:t>Figura 1: Composição dos RSU no Brasil.</w:t>
                            </w:r>
                          </w:p>
                          <w:p w14:paraId="0E2517C0" w14:textId="77777777" w:rsidR="0055406C" w:rsidRPr="0029245C" w:rsidRDefault="0055406C" w:rsidP="0051388C">
                            <w:pPr>
                              <w:jc w:val="center"/>
                              <w:rPr>
                                <w:rFonts w:cs="Times New Roman"/>
                                <w:color w:val="000000" w:themeColor="text1"/>
                                <w:lang w:val="pt-BR"/>
                              </w:rPr>
                            </w:pPr>
                          </w:p>
                          <w:p w14:paraId="400CD427" w14:textId="77777777" w:rsidR="0055406C" w:rsidRDefault="0055406C" w:rsidP="0051388C">
                            <w:pPr>
                              <w:jc w:val="center"/>
                              <w:rPr>
                                <w:rFonts w:cs="Times New Roman"/>
                                <w:color w:val="000000" w:themeColor="text1"/>
                              </w:rPr>
                            </w:pPr>
                            <w:r>
                              <w:rPr>
                                <w:rFonts w:cs="Times New Roman"/>
                                <w:noProof/>
                                <w:color w:val="000000" w:themeColor="text1"/>
                                <w:lang w:val="pt-BR" w:eastAsia="pt-BR"/>
                              </w:rPr>
                              <w:drawing>
                                <wp:inline distT="0" distB="0" distL="0" distR="0" wp14:anchorId="23959686" wp14:editId="0EBE254A">
                                  <wp:extent cx="3091194" cy="1940360"/>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91194" cy="1940360"/>
                                          </a:xfrm>
                                          <a:prstGeom prst="rect">
                                            <a:avLst/>
                                          </a:prstGeom>
                                          <a:noFill/>
                                          <a:ln>
                                            <a:noFill/>
                                          </a:ln>
                                        </pic:spPr>
                                      </pic:pic>
                                    </a:graphicData>
                                  </a:graphic>
                                </wp:inline>
                              </w:drawing>
                            </w:r>
                          </w:p>
                          <w:p w14:paraId="4733A6DF" w14:textId="1F1FC287" w:rsidR="0055406C" w:rsidRDefault="0055406C" w:rsidP="0051388C">
                            <w:pPr>
                              <w:jc w:val="center"/>
                              <w:rPr>
                                <w:rFonts w:cs="Times New Roman"/>
                                <w:color w:val="000000" w:themeColor="text1"/>
                              </w:rPr>
                            </w:pPr>
                            <w:r w:rsidRPr="0029245C">
                              <w:rPr>
                                <w:rFonts w:cs="Times New Roman"/>
                                <w:color w:val="000000" w:themeColor="text1"/>
                                <w:lang w:val="pt-BR"/>
                              </w:rPr>
                              <w:t xml:space="preserve">Fonte: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{"citationItems":[{"id":"ITEM-1","itemData":{"author":[{"dropping-particle":"","family":"ABRELPE","given":"","non-dropping-particle":"","parse-names":false,"suffix":""}],"id":"ITEM-1","issued":{"date-parts":[["2020"]]},"title":"PANORAMA DOS RESIDUOS SÓLIDOS NO BRASIL 2020","type":"report"},"uris":["http://www.mendeley.com/documents/?uuid=dedd3555-cd77-35e1-b70f-67774701d357"]}],"mendeley":{"formattedCitation":"[1]","plainTextFormattedCitation":"[1]","previouslyFormattedCitation":"[1]"},"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w:t>
                            </w:r>
                            <w:r w:rsidRPr="00E63A98">
                              <w:rPr>
                                <w:rFonts w:cs="Times New Roman"/>
                                <w:color w:val="000000" w:themeColor="text1"/>
                              </w:rPr>
                              <w:fldChar w:fldCharType="end"/>
                            </w:r>
                          </w:p>
                          <w:p w14:paraId="5433633C" w14:textId="7DA05086" w:rsidR="0055406C" w:rsidRDefault="005540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DB7F7" id="_x0000_t202" coordsize="21600,21600" o:spt="202" path="m,l,21600r21600,l21600,xe">
                <v:stroke joinstyle="miter"/>
                <v:path gradientshapeok="t" o:connecttype="rect"/>
              </v:shapetype>
              <v:shape id="Caixa de Texto 2" o:spid="_x0000_s1026" type="#_x0000_t202" style="position:absolute;left:0;text-align:left;margin-left:95pt;margin-top:31.5pt;width:22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67JwIAACQEAAAOAAAAZHJzL2Uyb0RvYy54bWysU9uO2jAQfa/Uf7D8XhKyUCAirLZsqSpt&#10;L9JuP2BwHGLV8bi2IaFf37FhWdq+VfWDNfbMHM+cOV7eDp1mB+m8QlPx8SjnTBqBtTK7in972ryZ&#10;c+YDmBo0Glnxo/T8dvX61bK3pSywRV1LxwjE+LK3FW9DsGWWedHKDvwIrTTkbNB1EOjodlntoCf0&#10;TmdFnr/NenS1dSik93R7f3LyVcJvGinCl6bxMjBdcaotpN2lfRv3bLWEcufAtkqcy4B/qKIDZejR&#10;C9Q9BGB7p/6C6pRw6LEJI4Fdhk2jhEw9UDfj/I9uHluwMvVC5Hh7ocn/P1jx+fDVMVVX/CafcWag&#10;oyGtQQ3Aasme5BCQFZGl3vqSgh8thYfhHQ407dSxtw8ovntmcN2C2ck757BvJdRU5ThmZlepJxwf&#10;Qbb9J6zpMdgHTEBD47pIIZHCCJ2mdbxMiOpggi6LeTHLC3IJ8o0n+c1iPk1vQPmcbp0PHyR2LBoV&#10;dySBBA+HBx9iOVA+h8TXPGpVb5TW6eB227V27AAkl01aZ/TfwrRhfcUX02KakA3G/KSkTgWSs1Zd&#10;xed5XDEdykjHe1MnO4DSJ5sq0ebMT6TkRE4YtgMFRtK2WB+JKYcn2dI3I6NF95OzniRbcf9jD05y&#10;pj8aYnsxnkyixtNhMp1Fnty1Z3vtASMIquKBs5O5DulfJB7sHU1loxJfL5WcayUpJhrP3yZq/fqc&#10;ol4+9+oXAAAA//8DAFBLAwQUAAYACAAAACEATaNWjt8AAAAKAQAADwAAAGRycy9kb3ducmV2Lnht&#10;bEyPwU7DMBBE70j8g7VI3KjTlEYlxKkqKi4ckChIcHRjJ46w15btpuHvWU70tBrtaOZNs52dZZOO&#10;afQoYLkogGnsvBpxEPDx/ny3AZayRCWtRy3gRyfYttdXjayVP+Obng55YBSCqZYCTM6h5jx1RjuZ&#10;Fj5opF/vo5OZZBy4ivJM4c7ysigq7uSI1GBk0E9Gd9+HkxPw6cyo9vH1q1d22r/0u3WYYxDi9mbe&#10;PQLLes7/ZvjDJ3RoienoT6gSs6QfCtqSBVQrumSoVusS2FFAublfAm8bfjmh/QUAAP//AwBQSwEC&#10;LQAUAAYACAAAACEAtoM4kv4AAADhAQAAEwAAAAAAAAAAAAAAAAAAAAAAW0NvbnRlbnRfVHlwZXNd&#10;LnhtbFBLAQItABQABgAIAAAAIQA4/SH/1gAAAJQBAAALAAAAAAAAAAAAAAAAAC8BAABfcmVscy8u&#10;cmVsc1BLAQItABQABgAIAAAAIQAeRR67JwIAACQEAAAOAAAAAAAAAAAAAAAAAC4CAABkcnMvZTJv&#10;RG9jLnhtbFBLAQItABQABgAIAAAAIQBNo1aO3wAAAAoBAAAPAAAAAAAAAAAAAAAAAIEEAABkcnMv&#10;ZG93bnJldi54bWxQSwUGAAAAAAQABADzAAAAjQUAAAAA&#10;" stroked="f">
                <v:textbox style="mso-fit-shape-to-text:t">
                  <w:txbxContent>
                    <w:p w14:paraId="0A3E2BDB" w14:textId="77777777" w:rsidR="0055406C" w:rsidRDefault="0055406C" w:rsidP="0051388C">
                      <w:pPr>
                        <w:jc w:val="center"/>
                        <w:rPr>
                          <w:rFonts w:cs="Times New Roman"/>
                          <w:color w:val="000000" w:themeColor="text1"/>
                          <w:lang w:val="pt-BR"/>
                        </w:rPr>
                      </w:pPr>
                      <w:r w:rsidRPr="0029245C">
                        <w:rPr>
                          <w:rFonts w:cs="Times New Roman"/>
                          <w:color w:val="000000" w:themeColor="text1"/>
                          <w:lang w:val="pt-BR"/>
                        </w:rPr>
                        <w:t>Figura 1: Composição dos RSU no Brasil.</w:t>
                      </w:r>
                    </w:p>
                    <w:p w14:paraId="0E2517C0" w14:textId="77777777" w:rsidR="0055406C" w:rsidRPr="0029245C" w:rsidRDefault="0055406C" w:rsidP="0051388C">
                      <w:pPr>
                        <w:jc w:val="center"/>
                        <w:rPr>
                          <w:rFonts w:cs="Times New Roman"/>
                          <w:color w:val="000000" w:themeColor="text1"/>
                          <w:lang w:val="pt-BR"/>
                        </w:rPr>
                      </w:pPr>
                    </w:p>
                    <w:p w14:paraId="400CD427" w14:textId="77777777" w:rsidR="0055406C" w:rsidRDefault="0055406C" w:rsidP="0051388C">
                      <w:pPr>
                        <w:jc w:val="center"/>
                        <w:rPr>
                          <w:rFonts w:cs="Times New Roman"/>
                          <w:color w:val="000000" w:themeColor="text1"/>
                        </w:rPr>
                      </w:pPr>
                      <w:r>
                        <w:rPr>
                          <w:rFonts w:cs="Times New Roman"/>
                          <w:noProof/>
                          <w:color w:val="000000" w:themeColor="text1"/>
                          <w:lang w:val="pt-BR" w:eastAsia="pt-BR"/>
                        </w:rPr>
                        <w:drawing>
                          <wp:inline distT="0" distB="0" distL="0" distR="0" wp14:anchorId="23959686" wp14:editId="0EBE254A">
                            <wp:extent cx="3091194" cy="1940360"/>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91194" cy="1940360"/>
                                    </a:xfrm>
                                    <a:prstGeom prst="rect">
                                      <a:avLst/>
                                    </a:prstGeom>
                                    <a:noFill/>
                                    <a:ln>
                                      <a:noFill/>
                                    </a:ln>
                                  </pic:spPr>
                                </pic:pic>
                              </a:graphicData>
                            </a:graphic>
                          </wp:inline>
                        </w:drawing>
                      </w:r>
                    </w:p>
                    <w:p w14:paraId="4733A6DF" w14:textId="1F1FC287" w:rsidR="0055406C" w:rsidRDefault="0055406C" w:rsidP="0051388C">
                      <w:pPr>
                        <w:jc w:val="center"/>
                        <w:rPr>
                          <w:rFonts w:cs="Times New Roman"/>
                          <w:color w:val="000000" w:themeColor="text1"/>
                        </w:rPr>
                      </w:pPr>
                      <w:r w:rsidRPr="0029245C">
                        <w:rPr>
                          <w:rFonts w:cs="Times New Roman"/>
                          <w:color w:val="000000" w:themeColor="text1"/>
                          <w:lang w:val="pt-BR"/>
                        </w:rPr>
                        <w:t xml:space="preserve">Fonte: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{"citationItems":[{"id":"ITEM-1","itemData":{"author":[{"dropping-particle":"","family":"ABRELPE","given":"","non-dropping-particle":"","parse-names":false,"suffix":""}],"id":"ITEM-1","issued":{"date-parts":[["2020"]]},"title":"PANORAMA DOS RESIDUOS SÓLIDOS NO BRASIL 2020","type":"report"},"uris":["http://www.mendeley.com/documents/?uuid=dedd3555-cd77-35e1-b70f-67774701d357"]}],"mendeley":{"formattedCitation":"[1]","plainTextFormattedCitation":"[1]","previouslyFormattedCitation":"[1]"},"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w:t>
                      </w:r>
                      <w:r w:rsidRPr="00E63A98">
                        <w:rPr>
                          <w:rFonts w:cs="Times New Roman"/>
                          <w:color w:val="000000" w:themeColor="text1"/>
                        </w:rPr>
                        <w:fldChar w:fldCharType="end"/>
                      </w:r>
                    </w:p>
                    <w:p w14:paraId="5433633C" w14:textId="7DA05086" w:rsidR="0055406C" w:rsidRDefault="0055406C"/>
                  </w:txbxContent>
                </v:textbox>
                <w10:wrap type="topAndBottom"/>
              </v:shape>
            </w:pict>
          </mc:Fallback>
        </mc:AlternateContent>
      </w:r>
    </w:p>
    <w:p w14:paraId="229848F8" w14:textId="77777777" w:rsidR="0051388C" w:rsidRDefault="0051388C" w:rsidP="0029245C">
      <w:pPr>
        <w:rPr>
          <w:rFonts w:cs="Times New Roman"/>
          <w:color w:val="000000" w:themeColor="text1"/>
          <w:lang w:val="pt-BR"/>
        </w:rPr>
      </w:pPr>
    </w:p>
    <w:p w14:paraId="47340917" w14:textId="77777777" w:rsidR="0051388C" w:rsidRDefault="0051388C" w:rsidP="0029245C">
      <w:pPr>
        <w:rPr>
          <w:rFonts w:cs="Times New Roman"/>
          <w:color w:val="000000" w:themeColor="text1"/>
          <w:lang w:val="pt-BR"/>
        </w:rPr>
      </w:pPr>
    </w:p>
    <w:p w14:paraId="4FA4041F" w14:textId="1A06D63C" w:rsidR="0029245C" w:rsidRDefault="0029245C" w:rsidP="0029245C">
      <w:pPr>
        <w:rPr>
          <w:rFonts w:cs="Times New Roman"/>
          <w:color w:val="000000" w:themeColor="text1"/>
          <w:lang w:val="pt-BR"/>
        </w:rPr>
      </w:pPr>
      <w:r w:rsidRPr="0029245C">
        <w:rPr>
          <w:rFonts w:cs="Times New Roman"/>
          <w:color w:val="000000" w:themeColor="text1"/>
          <w:lang w:val="pt-BR"/>
        </w:rPr>
        <w:t xml:space="preserve">A Digestão Anaeróbia (DA) da material orgânico em reatores anaeróbios dedicados resulta na produção de biogás, com alta concentração de metano, podendo ser utilizado como combustível na geração de eletricidade, trabalho mecânico ou calor. Com a produção do biogás, a DA tem como efluente o </w:t>
      </w:r>
      <w:proofErr w:type="spellStart"/>
      <w:r w:rsidRPr="0029245C">
        <w:rPr>
          <w:rFonts w:cs="Times New Roman"/>
          <w:color w:val="000000" w:themeColor="text1"/>
          <w:lang w:val="pt-BR"/>
        </w:rPr>
        <w:t>digestato</w:t>
      </w:r>
      <w:proofErr w:type="spellEnd"/>
      <w:r w:rsidRPr="0029245C">
        <w:rPr>
          <w:rFonts w:cs="Times New Roman"/>
          <w:color w:val="000000" w:themeColor="text1"/>
          <w:lang w:val="pt-BR"/>
        </w:rPr>
        <w:t xml:space="preserve">, um composto que pode ser tratado e aproveitado como </w:t>
      </w:r>
      <w:proofErr w:type="spellStart"/>
      <w:r w:rsidRPr="0029245C">
        <w:rPr>
          <w:rFonts w:cs="Times New Roman"/>
          <w:color w:val="000000" w:themeColor="text1"/>
          <w:lang w:val="pt-BR"/>
        </w:rPr>
        <w:t>biofertilizante</w:t>
      </w:r>
      <w:proofErr w:type="spellEnd"/>
      <w:r w:rsidRPr="0029245C">
        <w:rPr>
          <w:rFonts w:cs="Times New Roman"/>
          <w:color w:val="000000" w:themeColor="text1"/>
          <w:lang w:val="pt-BR"/>
        </w:rPr>
        <w:t xml:space="preserv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{"citationItems":[{"id":"ITEM-1","itemData":{"DOI":"10.1016/J.JCLEPRO.2019.119876","ISSN":"0959-6526","abstract":"Anaerobic digestion for biogas production is known as an effective way of organic waste management. However, in countries rich in fossil fuels resources, its application is very limited. The present research aimed to find whether farm biogas plant could be economic in Iran, where low price natural gas and electricity are available in the most of the regions. Capital cost, net income, internal rate of return, and return of investment of a farm biogas plant was calculated assuming three different scenarios for a 400 head dairy farm; 1) Combined heat and power biogas plant by treatment of 4,562 t y−1 manure: power injection to the grid, and heat to be used in farm or be sold to the potential nearby clients, 2) biogas plant only for power generation by treatment of 4,562 t y−1 manure: power injection to the grid, and 3) No power generation: Treatment of 1,200 t.y-1 for substitution of current heating and cooking fuel (liquefied petroleum gas and diesel) by biogas. The technical and economic calculations were based on biomethane potential test (BMP). The economic analysis results showed that the return of investment in all scenarios was less than 4 years. The surplus net income of the farm from digester including energy and bio-fertilizer production from the three scenarios were 32,000, 38,000, and 6,400 US$ per year. Overall, all three scenarios are economically feasible in Iran, if the biogas plant is constructed domestically.","author":[{"dropping-particle":"","family":"Rouhollahi","given":"Zahra","non-dropping-particle":"","parse-names":false,"suffix":""},{"dropping-particle":"","family":"Ebrahimi-Nik","given":"Mohammadali","non-dropping-particle":"","parse-names":false,"suffix":""},{"dropping-particle":"","family":"Ebrahimi","given":"Seyed Hadi","non-dropping-particle":"","parse-names":false,"suffix":""},{"dropping-particle":"","family":"Abbaspour-Fard","given":"Mohammad Hossein","non-dropping-particle":"","parse-names":false,"suffix":""},{"dropping-particle":"","family":"Zeynali","given":"Reyhaneh","non-dropping-particle":"","parse-names":false,"suffix":""},{"dropping-particle":"","family":"Bayati","given":"Mohammad Reza","non-dropping-particle":"","parse-names":false,"suffix":""}],"container-title":"Journal of Cleaner Production","id":"ITEM-1","issued":{"date-parts":[["2020","4","20"]]},"page":"119876","publisher":"Elsevier","title":"Farm biogas plants, a sustainable waste to energy and bio-fertilizer opportunity for Iran","type":"article-journal","volume":"253"},"uris":["http://www.mendeley.com/documents/?uuid=2657f9a8-fa5f-3b1b-81e6-943add5e5186"]}],"mendeley":{"formattedCitation":"[5]","plainTextFormattedCitation":"[5]","previouslyFormattedCitation":"[5]"},"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[5]</w:t>
      </w:r>
      <w:r w:rsidRPr="00E63A98">
        <w:rPr>
          <w:rFonts w:cs="Times New Roman"/>
          <w:color w:val="000000" w:themeColor="text1"/>
        </w:rPr>
        <w:fldChar w:fldCharType="end"/>
      </w:r>
      <w:r w:rsidRPr="0029245C">
        <w:rPr>
          <w:rFonts w:cs="Times New Roman"/>
          <w:color w:val="000000" w:themeColor="text1"/>
          <w:lang w:val="pt-BR"/>
        </w:rPr>
        <w:t xml:space="preserve">. Desta forma, tal processo é uma forma atrativa para </w:t>
      </w:r>
      <w:r w:rsidRPr="0029245C">
        <w:rPr>
          <w:rFonts w:cs="Times New Roman"/>
          <w:color w:val="000000" w:themeColor="text1"/>
          <w:lang w:val="pt-BR"/>
        </w:rPr>
        <w:lastRenderedPageBreak/>
        <w:t xml:space="preserve">tratamento dos resíduos orgânicos, uma vez que possibilita o aproveitamento energético de sua biomassa contida sendo, portanto, um recurso energético renovável. </w:t>
      </w:r>
    </w:p>
    <w:p w14:paraId="0A6FE1B4" w14:textId="77777777" w:rsidR="0029245C" w:rsidRPr="0029245C" w:rsidRDefault="0029245C" w:rsidP="0029245C">
      <w:pPr>
        <w:rPr>
          <w:rFonts w:cs="Times New Roman"/>
          <w:color w:val="000000" w:themeColor="text1"/>
          <w:lang w:val="pt-BR"/>
        </w:rPr>
      </w:pPr>
    </w:p>
    <w:p w14:paraId="623EF040" w14:textId="2076794E" w:rsidR="0029245C" w:rsidRDefault="0029245C" w:rsidP="0029245C">
      <w:pPr>
        <w:rPr>
          <w:rFonts w:cs="Times New Roman"/>
          <w:color w:val="000000" w:themeColor="text1"/>
          <w:lang w:val="pt-BR"/>
        </w:rPr>
      </w:pPr>
      <w:r w:rsidRPr="0029245C">
        <w:rPr>
          <w:rFonts w:cs="Times New Roman"/>
          <w:color w:val="000000" w:themeColor="text1"/>
          <w:lang w:val="pt-BR"/>
        </w:rPr>
        <w:t xml:space="preserve">Foram desenvolvidos na Europa diversos modelos de biodigestores anaeróbios apropriados para o processamento de RSU para geração de biogás, sendo os tipos </w:t>
      </w:r>
      <w:proofErr w:type="spellStart"/>
      <w:r w:rsidRPr="00F546DD">
        <w:rPr>
          <w:rFonts w:cs="Times New Roman"/>
          <w:i/>
          <w:color w:val="000000" w:themeColor="text1"/>
          <w:lang w:val="pt-BR"/>
        </w:rPr>
        <w:t>Dranco</w:t>
      </w:r>
      <w:proofErr w:type="spellEnd"/>
      <w:r w:rsidRPr="0029245C">
        <w:rPr>
          <w:rFonts w:cs="Times New Roman"/>
          <w:color w:val="000000" w:themeColor="text1"/>
          <w:lang w:val="pt-BR"/>
        </w:rPr>
        <w:t xml:space="preserve">, </w:t>
      </w:r>
      <w:proofErr w:type="spellStart"/>
      <w:r w:rsidRPr="00F546DD">
        <w:rPr>
          <w:rFonts w:cs="Times New Roman"/>
          <w:i/>
          <w:color w:val="000000" w:themeColor="text1"/>
          <w:lang w:val="pt-BR"/>
        </w:rPr>
        <w:t>Kompogas</w:t>
      </w:r>
      <w:proofErr w:type="spellEnd"/>
      <w:r w:rsidRPr="0029245C">
        <w:rPr>
          <w:rFonts w:cs="Times New Roman"/>
          <w:color w:val="000000" w:themeColor="text1"/>
          <w:lang w:val="pt-BR"/>
        </w:rPr>
        <w:t xml:space="preserve">, </w:t>
      </w:r>
      <w:proofErr w:type="spellStart"/>
      <w:r w:rsidRPr="00F546DD">
        <w:rPr>
          <w:rFonts w:cs="Times New Roman"/>
          <w:i/>
          <w:color w:val="000000" w:themeColor="text1"/>
          <w:lang w:val="pt-BR"/>
        </w:rPr>
        <w:t>Valorga</w:t>
      </w:r>
      <w:proofErr w:type="spellEnd"/>
      <w:r w:rsidRPr="0029245C">
        <w:rPr>
          <w:rFonts w:cs="Times New Roman"/>
          <w:color w:val="000000" w:themeColor="text1"/>
          <w:lang w:val="pt-BR"/>
        </w:rPr>
        <w:t xml:space="preserve">, </w:t>
      </w:r>
      <w:proofErr w:type="spellStart"/>
      <w:r w:rsidRPr="00F546DD">
        <w:rPr>
          <w:rFonts w:cs="Times New Roman"/>
          <w:i/>
          <w:color w:val="000000" w:themeColor="text1"/>
          <w:lang w:val="pt-BR"/>
        </w:rPr>
        <w:t>Bekon</w:t>
      </w:r>
      <w:proofErr w:type="spellEnd"/>
      <w:r w:rsidRPr="0029245C">
        <w:rPr>
          <w:rFonts w:cs="Times New Roman"/>
          <w:color w:val="000000" w:themeColor="text1"/>
          <w:lang w:val="pt-BR"/>
        </w:rPr>
        <w:t xml:space="preserve">, </w:t>
      </w:r>
      <w:proofErr w:type="spellStart"/>
      <w:r w:rsidRPr="00F546DD">
        <w:rPr>
          <w:rFonts w:cs="Times New Roman"/>
          <w:i/>
          <w:color w:val="000000" w:themeColor="text1"/>
          <w:lang w:val="pt-BR"/>
        </w:rPr>
        <w:t>Waasa</w:t>
      </w:r>
      <w:proofErr w:type="spellEnd"/>
      <w:r w:rsidRPr="0029245C">
        <w:rPr>
          <w:rFonts w:cs="Times New Roman"/>
          <w:color w:val="000000" w:themeColor="text1"/>
          <w:lang w:val="pt-BR"/>
        </w:rPr>
        <w:t xml:space="preserve"> e BTA o</w:t>
      </w:r>
      <w:r w:rsidR="00F546DD">
        <w:rPr>
          <w:rFonts w:cs="Times New Roman"/>
          <w:color w:val="000000" w:themeColor="text1"/>
          <w:lang w:val="pt-BR"/>
        </w:rPr>
        <w:t>s</w:t>
      </w:r>
      <w:r w:rsidRPr="0029245C">
        <w:rPr>
          <w:rFonts w:cs="Times New Roman"/>
          <w:color w:val="000000" w:themeColor="text1"/>
          <w:lang w:val="pt-BR"/>
        </w:rPr>
        <w:t xml:space="preserve"> mais comuns e com diversas instalações em funcionamento. Tais tecnologias se diferem quanto à temperatura de operação do reator, umidade da matéria orgânica, número de estágios, capacidade de geração de biogás, entre outras particularidades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{"citationItems":[{"id":"ITEM-1","itemData":{"DOI":"10.1016/j.biortech.2017.08.159","ISSN":"18732976","abstract":"Waste generation is increasing day-by-day with the growth of population which directly affects the environment and economy. Organic municipal solid waste (MSW) and agriculture sectors contribute towards maximum waste generation in India. Thus, management of organic waste is very much essential with the increasing demand for energy. The present paper mainly focusses on reviewing waste to energy (WtE) potentials, its technologies, and the associated challenges. Different substrates are utilized through various technological options in India. Organic waste has good potential to attain sustainable energy yields with and without affecting the environment. A realistic scenario of WtE technologies and their challenges in line with the existing Indian condition is presented in this paper.","author":[{"dropping-particle":"","family":"Dhar","given":"Hiya","non-dropping-particle":"","parse-names":false,"suffix":""},{"dropping-particle":"","family":"Kumar","given":"Sunil","non-dropping-particle":"","parse-names":false,"suffix":""},{"dropping-particle":"","family":"Kumar","given":"Rakesh","non-dropping-particle":"","parse-names":false,"suffix":""}],"container-title":"Bioresource Technology","id":"ITEM-1","issued":{"date-parts":[["2017"]]},"page":"1229-1237","publisher":"Elsevier Ltd","title":"A review on organic waste to energy systems in India","type":"article","volume":"245"},"uris":["http://www.mendeley.com/documents/?uuid=70f8c62d-cfc3-3b9c-ba4d-0dd772e37b1c"]}],"mendeley":{"formattedCitation":"[6]","plainTextFormattedCitation":"[6]","previouslyFormattedCitation":"[6]"},"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[6]</w:t>
      </w:r>
      <w:r w:rsidRPr="00E63A98">
        <w:rPr>
          <w:rFonts w:cs="Times New Roman"/>
          <w:color w:val="000000" w:themeColor="text1"/>
        </w:rPr>
        <w:fldChar w:fldCharType="end"/>
      </w:r>
      <w:r w:rsidRPr="0029245C">
        <w:rPr>
          <w:rFonts w:cs="Times New Roman"/>
          <w:color w:val="000000" w:themeColor="text1"/>
          <w:lang w:val="pt-BR"/>
        </w:rPr>
        <w:t xml:space="preserve">. </w:t>
      </w:r>
    </w:p>
    <w:p w14:paraId="0132618E" w14:textId="77777777" w:rsidR="0029245C" w:rsidRPr="0029245C" w:rsidRDefault="0029245C" w:rsidP="0029245C">
      <w:pPr>
        <w:rPr>
          <w:rFonts w:cs="Times New Roman"/>
          <w:color w:val="000000" w:themeColor="text1"/>
          <w:lang w:val="pt-BR"/>
        </w:rPr>
      </w:pPr>
    </w:p>
    <w:p w14:paraId="2393C309" w14:textId="77777777" w:rsidR="0029245C" w:rsidRDefault="0029245C" w:rsidP="0029245C">
      <w:pPr>
        <w:rPr>
          <w:rFonts w:cs="Times New Roman"/>
          <w:color w:val="000000" w:themeColor="text1"/>
          <w:lang w:val="pt-BR"/>
        </w:rPr>
      </w:pPr>
      <w:r w:rsidRPr="0029245C">
        <w:rPr>
          <w:rFonts w:cs="Times New Roman"/>
          <w:color w:val="000000" w:themeColor="text1"/>
          <w:lang w:val="pt-BR"/>
        </w:rPr>
        <w:t xml:space="preserve">O presente trabalho analisa a possibilidade de se utilizar todo o resíduo orgânico contido nos RSU gerados na cidade de Guaratinguetá, Brasil, visando a produção de biogás por meio da digestão anaeróbia. Nesta cidade são produzidas diariamente 104 toneladas de RSU. </w:t>
      </w:r>
    </w:p>
    <w:p w14:paraId="04D529AE" w14:textId="77777777" w:rsidR="0029245C" w:rsidRPr="0029245C" w:rsidRDefault="0029245C" w:rsidP="0029245C">
      <w:pPr>
        <w:rPr>
          <w:rFonts w:cs="Times New Roman"/>
          <w:color w:val="000000" w:themeColor="text1"/>
          <w:lang w:val="pt-BR"/>
        </w:rPr>
      </w:pPr>
    </w:p>
    <w:p w14:paraId="76ADE671" w14:textId="77777777" w:rsidR="0029245C" w:rsidRDefault="0029245C" w:rsidP="0029245C">
      <w:pPr>
        <w:rPr>
          <w:rFonts w:cs="Times New Roman"/>
          <w:color w:val="000000" w:themeColor="text1"/>
          <w:lang w:val="pt-BR"/>
        </w:rPr>
      </w:pPr>
      <w:r w:rsidRPr="0029245C">
        <w:rPr>
          <w:rFonts w:cs="Times New Roman"/>
          <w:color w:val="000000" w:themeColor="text1"/>
          <w:lang w:val="pt-BR"/>
        </w:rPr>
        <w:t>De acordo com dados da Associação Brasileira de Empresas de Limpeza Pública e Resíduos Especiais (ABRELPE)</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{"citationItems":[{"id":"ITEM-1","itemData":{"author":[{"dropping-particle":"","family":"ABRELPE","given":"","non-dropping-particle":"","parse-names":false,"suffix":""}],"id":"ITEM-1","issued":{"date-parts":[["2020"]]},"title":"PANORAMA DOS RESIDUOS SÓLIDOS NO BRASIL 2020","type":"report"},"uris":["http://www.mendeley.com/documents/?uuid=dedd3555-cd77-35e1-b70f-67774701d357"]}],"mendeley":{"formattedCitation":"[1]","plainTextFormattedCitation":"[1]","previouslyFormattedCitation":"[1]"},"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w:t>
      </w:r>
      <w:r w:rsidRPr="00E63A98">
        <w:rPr>
          <w:rFonts w:cs="Times New Roman"/>
          <w:color w:val="000000" w:themeColor="text1"/>
        </w:rPr>
        <w:fldChar w:fldCharType="end"/>
      </w:r>
      <w:r w:rsidRPr="0029245C">
        <w:rPr>
          <w:rFonts w:cs="Times New Roman"/>
          <w:color w:val="000000" w:themeColor="text1"/>
          <w:lang w:val="pt-BR"/>
        </w:rPr>
        <w:t>, 45,3% da massa dos RSU no Brasil são compostos de material orgânico, 28,6% de materiais recicláveis (papel, metais, vidros, madeiras, plásticos) e 26,1% de outros (panos, trapos, borrachas e outros materiais). A composição dos RSU no Brasil é mostrada na Figura 1.</w:t>
      </w:r>
    </w:p>
    <w:p w14:paraId="614AB02D" w14:textId="77777777" w:rsidR="0029245C" w:rsidRPr="0029245C" w:rsidRDefault="0029245C" w:rsidP="0029245C">
      <w:pPr>
        <w:jc w:val="center"/>
        <w:rPr>
          <w:rFonts w:cs="Times New Roman"/>
          <w:color w:val="000000" w:themeColor="text1"/>
          <w:lang w:val="pt-BR"/>
        </w:rPr>
      </w:pPr>
    </w:p>
    <w:p w14:paraId="28EB5FEB" w14:textId="2885DC67" w:rsidR="0029245C" w:rsidRDefault="0029245C" w:rsidP="0029245C">
      <w:pPr>
        <w:rPr>
          <w:rFonts w:cs="Times New Roman"/>
          <w:color w:val="000000" w:themeColor="text1"/>
          <w:lang w:val="pt-BR"/>
        </w:rPr>
      </w:pPr>
      <w:r w:rsidRPr="0029245C">
        <w:rPr>
          <w:rFonts w:cs="Times New Roman"/>
          <w:color w:val="000000" w:themeColor="text1"/>
          <w:lang w:val="pt-BR"/>
        </w:rPr>
        <w:t xml:space="preserve">Assumindo que seja feita a triagem completa dos RSU gerados em Guaratinguetá, o material orgânico, é separado dos demais por meio de processamento mecânico, sendo então denominada Fração Orgânica dos Resíduos Sólidos Urbanos (FORSU). Restos de alimentos domésticos, sobras de podas e de feiras livres e descartes hortifrúti são os principais componentes da FORSU. Para este tipo específico de resíduo, são utilizados resultados de caracterização físico-química </w:t>
      </w:r>
      <w:r w:rsidRPr="0029245C">
        <w:rPr>
          <w:rFonts w:cs="Times New Roman"/>
          <w:color w:val="000000" w:themeColor="text1"/>
          <w:lang w:val="pt-BR"/>
        </w:rPr>
        <w:lastRenderedPageBreak/>
        <w:t xml:space="preserve">feita por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{"citationItems":[{"id":"ITEM-1","itemData":{"DOI":"10.1080/09593330.2014.929182","ISSN":"0959-3330","PMID":"25244131","abstract":"Municipal solid waste is broadly generated in everyday activities and its treatment is a global challenge. Total solids (TS) and volatile solids (VS) are typical control parameters measured in biological treatments. In this study, the TS and VS were determined using the standard methods, as well as introducing some variants: (i) the drying temperature for the TS assays was 105°C, 70°C and 50°C and (ii) the VS were determined using different heating ramps from room tempature to 550°C. TS could be determined at either 105°C or 70°C, but oven residence time was tripled at 70°C, increasing from 48 to 144 h. The VS could be determined by smouldering the sample (where the sample is burnt without a flame), which avoids the release of fumes and odours in the laboratory. However, smouldering can generate undesired pyrolysis products as a consequence of carbonization, which leads to VS being underestimated. Carbonization can be avoided using slow heating ramps to prevent the oxygen limitation. Furthermore, crushing the sample cores decreased the time to reach constant weight and decreased the potential to underestimate VS.","author":[{"dropping-particle":"","family":"Peces","given":"M.","non-dropping-particle":"","parse-names":false,"suffix":""},{"dropping-particle":"","family":"Astals","given":"S.","non-dropping-particle":"","parse-names":false,"suffix":""},{"dropping-particle":"","family":"Mata-Alvarez","given":"J.","non-dropping-particle":"","parse-names":false,"suffix":""}],"container-title":"Environmental technology","id":"ITEM-1","issue":"21-24","issued":{"date-parts":[["2014","12","1"]]},"page":"3041-3046","publisher":"Environ Technol","title":"Assessing total and volatile solids in municipal solid waste samples","type":"article-journal","volume":"35"},"uris":["http://www.mendeley.com/documents/?uuid=bfe3cee8-82d3-3ab9-89e1-1989184b9284"]}],"mendeley":{"formattedCitation":"[7]","plainTextFormattedCitation":"[7]","previouslyFormattedCitation":"[7]"},"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[7]</w:t>
      </w:r>
      <w:r w:rsidRPr="00E63A98">
        <w:rPr>
          <w:rFonts w:cs="Times New Roman"/>
          <w:color w:val="000000" w:themeColor="text1"/>
        </w:rPr>
        <w:fldChar w:fldCharType="end"/>
      </w:r>
      <w:r w:rsidRPr="0029245C">
        <w:rPr>
          <w:rFonts w:cs="Times New Roman"/>
          <w:color w:val="000000" w:themeColor="text1"/>
          <w:lang w:val="pt-BR"/>
        </w:rPr>
        <w:t xml:space="preserve"> com amostras de FORSU composta de 35% de frutas, 35% de demais vegetais, 20% de papelão e 10% de plástico. </w:t>
      </w:r>
    </w:p>
    <w:p w14:paraId="7FD0E921" w14:textId="77777777" w:rsidR="0029245C" w:rsidRPr="0029245C" w:rsidRDefault="0029245C" w:rsidP="0029245C">
      <w:pPr>
        <w:rPr>
          <w:rFonts w:cs="Times New Roman"/>
          <w:color w:val="000000" w:themeColor="text1"/>
          <w:lang w:val="pt-BR"/>
        </w:rPr>
      </w:pPr>
    </w:p>
    <w:p w14:paraId="597464A5" w14:textId="79761B42" w:rsidR="0029245C" w:rsidRDefault="0029245C" w:rsidP="0029245C">
      <w:pPr>
        <w:rPr>
          <w:rFonts w:cs="Times New Roman"/>
          <w:color w:val="000000" w:themeColor="text1"/>
          <w:lang w:val="pt-BR"/>
        </w:rPr>
      </w:pPr>
      <w:r w:rsidRPr="0029245C">
        <w:rPr>
          <w:rFonts w:cs="Times New Roman"/>
          <w:color w:val="000000" w:themeColor="text1"/>
          <w:lang w:val="pt-BR"/>
        </w:rPr>
        <w:t>Serão calculad</w:t>
      </w:r>
      <w:r>
        <w:rPr>
          <w:rFonts w:cs="Times New Roman"/>
          <w:color w:val="000000" w:themeColor="text1"/>
          <w:lang w:val="pt-BR"/>
        </w:rPr>
        <w:t>o</w:t>
      </w:r>
      <w:r w:rsidRPr="0029245C">
        <w:rPr>
          <w:rFonts w:cs="Times New Roman"/>
          <w:color w:val="000000" w:themeColor="text1"/>
          <w:lang w:val="pt-BR"/>
        </w:rPr>
        <w:t xml:space="preserve">s, por meio das equações e relações dadas, os potenciais de produção de biogás a partir da digestão anaeróbia da FORSU, bem como o de geração de eletricidade por meio da combustão deste gás em grupos geradores com </w:t>
      </w:r>
      <w:r w:rsidR="00845BFA">
        <w:rPr>
          <w:rFonts w:cs="Times New Roman"/>
          <w:color w:val="000000" w:themeColor="text1"/>
          <w:lang w:val="pt-BR"/>
        </w:rPr>
        <w:t xml:space="preserve">Turbinas a Gás (TG) de ciclo </w:t>
      </w:r>
      <w:proofErr w:type="spellStart"/>
      <w:r w:rsidR="00845BFA">
        <w:rPr>
          <w:rFonts w:cs="Times New Roman"/>
          <w:color w:val="000000" w:themeColor="text1"/>
          <w:lang w:val="pt-BR"/>
        </w:rPr>
        <w:t>Brayton</w:t>
      </w:r>
      <w:proofErr w:type="spellEnd"/>
      <w:r w:rsidRPr="0029245C">
        <w:rPr>
          <w:rFonts w:cs="Times New Roman"/>
          <w:color w:val="000000" w:themeColor="text1"/>
          <w:lang w:val="pt-BR"/>
        </w:rPr>
        <w:t xml:space="preserve">. </w:t>
      </w:r>
    </w:p>
    <w:p w14:paraId="6714B2DE" w14:textId="77777777" w:rsidR="0051388C" w:rsidRDefault="0051388C" w:rsidP="0029245C">
      <w:pPr>
        <w:rPr>
          <w:rFonts w:cs="Times New Roman"/>
          <w:color w:val="000000" w:themeColor="text1"/>
          <w:lang w:val="pt-BR"/>
        </w:rPr>
      </w:pPr>
    </w:p>
    <w:p w14:paraId="0C8C868F" w14:textId="6145FB43" w:rsidR="0029245C" w:rsidRDefault="0029245C" w:rsidP="0029245C">
      <w:pPr>
        <w:rPr>
          <w:rFonts w:cs="Times New Roman"/>
          <w:color w:val="000000" w:themeColor="text1"/>
          <w:lang w:val="pt-BR"/>
        </w:rPr>
      </w:pPr>
      <w:r w:rsidRPr="0029245C">
        <w:rPr>
          <w:rFonts w:cs="Times New Roman"/>
          <w:color w:val="000000" w:themeColor="text1"/>
          <w:lang w:val="pt-BR"/>
        </w:rPr>
        <w:t>Este potencial elétrico pode ser aproveitado pela cidade, no âmbito de uma geração descentralizada, bem como ser utilizado para produção de hidrogênio, um vetor de alta densidade energética com diversas aplicações sendo desenvolvidas e disponibilizadas, como o transporte e serviços à rede elétrica. Calcula-se então o potencial de produção de hidrogênio com o uso total desta eletricidade em processo de eletrólise.</w:t>
      </w:r>
    </w:p>
    <w:p w14:paraId="68CB7975" w14:textId="2006D32D" w:rsidR="0029245C" w:rsidRPr="0029245C" w:rsidRDefault="0029245C" w:rsidP="0029245C">
      <w:pPr>
        <w:rPr>
          <w:rFonts w:cs="Times New Roman"/>
          <w:color w:val="000000" w:themeColor="text1"/>
          <w:lang w:val="pt-BR"/>
        </w:rPr>
      </w:pPr>
      <w:r w:rsidRPr="0029245C">
        <w:rPr>
          <w:rFonts w:cs="Times New Roman"/>
          <w:color w:val="000000" w:themeColor="text1"/>
          <w:lang w:val="pt-BR"/>
        </w:rPr>
        <w:t xml:space="preserve">  </w:t>
      </w:r>
    </w:p>
    <w:p w14:paraId="60FF7B75" w14:textId="77777777" w:rsidR="0029245C" w:rsidRDefault="0029245C" w:rsidP="0029245C">
      <w:pPr>
        <w:pStyle w:val="Ttulo1"/>
        <w:keepNext/>
        <w:keepLines/>
        <w:numPr>
          <w:ilvl w:val="0"/>
          <w:numId w:val="26"/>
        </w:numPr>
        <w:spacing w:line="259" w:lineRule="auto"/>
        <w:contextualSpacing w:val="0"/>
        <w:jc w:val="left"/>
        <w:rPr>
          <w:color w:val="000000" w:themeColor="text1"/>
        </w:rPr>
      </w:pPr>
      <w:proofErr w:type="spellStart"/>
      <w:r w:rsidRPr="00E63A98">
        <w:rPr>
          <w:color w:val="000000" w:themeColor="text1"/>
        </w:rPr>
        <w:t>Metodologia</w:t>
      </w:r>
      <w:proofErr w:type="spellEnd"/>
    </w:p>
    <w:p w14:paraId="7C186B04" w14:textId="77777777" w:rsidR="00F546DD" w:rsidRPr="00F546DD" w:rsidRDefault="00F546DD" w:rsidP="00F546DD"/>
    <w:p w14:paraId="44301E4E" w14:textId="77777777" w:rsidR="0029245C" w:rsidRDefault="0029245C" w:rsidP="0029245C">
      <w:pPr>
        <w:pStyle w:val="Ttulo1"/>
        <w:keepNext/>
        <w:keepLines/>
        <w:numPr>
          <w:ilvl w:val="1"/>
          <w:numId w:val="26"/>
        </w:numPr>
        <w:spacing w:line="259" w:lineRule="auto"/>
        <w:ind w:left="0" w:firstLine="0"/>
        <w:contextualSpacing w:val="0"/>
        <w:jc w:val="left"/>
        <w:rPr>
          <w:color w:val="000000" w:themeColor="text1"/>
        </w:rPr>
      </w:pPr>
      <w:proofErr w:type="spellStart"/>
      <w:r w:rsidRPr="00E63A98">
        <w:rPr>
          <w:color w:val="000000" w:themeColor="text1"/>
        </w:rPr>
        <w:t>Análise</w:t>
      </w:r>
      <w:proofErr w:type="spellEnd"/>
      <w:r w:rsidRPr="00E63A98">
        <w:rPr>
          <w:color w:val="000000" w:themeColor="text1"/>
        </w:rPr>
        <w:t xml:space="preserve"> técnica</w:t>
      </w:r>
    </w:p>
    <w:p w14:paraId="4FCE75CF" w14:textId="77777777" w:rsidR="00F546DD" w:rsidRPr="00F546DD" w:rsidRDefault="00F546DD" w:rsidP="00F546DD"/>
    <w:p w14:paraId="05077845" w14:textId="5BEFFFC8" w:rsidR="0029245C" w:rsidRDefault="0029245C" w:rsidP="0029245C">
      <w:pPr>
        <w:pStyle w:val="Ttulo1"/>
        <w:keepNext/>
        <w:keepLines/>
        <w:numPr>
          <w:ilvl w:val="2"/>
          <w:numId w:val="26"/>
        </w:numPr>
        <w:spacing w:line="259" w:lineRule="auto"/>
        <w:ind w:left="0" w:firstLine="0"/>
        <w:contextualSpacing w:val="0"/>
        <w:jc w:val="left"/>
        <w:rPr>
          <w:color w:val="000000" w:themeColor="text1"/>
        </w:rPr>
      </w:pPr>
      <w:proofErr w:type="spellStart"/>
      <w:r w:rsidRPr="00E63A98">
        <w:rPr>
          <w:color w:val="000000" w:themeColor="text1"/>
        </w:rPr>
        <w:t>Produção</w:t>
      </w:r>
      <w:proofErr w:type="spellEnd"/>
      <w:r w:rsidRPr="00E63A98">
        <w:rPr>
          <w:color w:val="000000" w:themeColor="text1"/>
        </w:rPr>
        <w:t xml:space="preserve"> de biogás</w:t>
      </w:r>
    </w:p>
    <w:p w14:paraId="3AB39502" w14:textId="77777777" w:rsidR="0029245C" w:rsidRPr="0029245C" w:rsidRDefault="0029245C" w:rsidP="0029245C"/>
    <w:p w14:paraId="0A9DB20E" w14:textId="7C98F73F" w:rsidR="0029245C" w:rsidRDefault="0029245C" w:rsidP="0029245C">
      <w:pPr>
        <w:rPr>
          <w:rFonts w:cs="Times New Roman"/>
          <w:color w:val="000000" w:themeColor="text1"/>
          <w:lang w:val="pt-BR"/>
        </w:rPr>
      </w:pPr>
      <w:r w:rsidRPr="0029245C">
        <w:rPr>
          <w:rFonts w:cs="Times New Roman"/>
          <w:color w:val="000000" w:themeColor="text1"/>
          <w:lang w:val="pt-BR"/>
        </w:rPr>
        <w:t xml:space="preserve">Conforme dados disponibilizados pelo CETESB, tem-se uma produção anual de 104 toneladas de RSU na cidade de Guaratinguetá, Brasil. Este resíduo é processado em uma unidade municipal de triagem, onde é separado o material reciclável, sendo o restante depositado diretamente no aterro sanitário da cidade de Cachoeira Paulista, 38 km distante. </w:t>
      </w:r>
    </w:p>
    <w:p w14:paraId="16682E9E" w14:textId="77777777" w:rsidR="0029245C" w:rsidRPr="0029245C" w:rsidRDefault="0029245C" w:rsidP="0029245C">
      <w:pPr>
        <w:rPr>
          <w:rFonts w:cs="Times New Roman"/>
          <w:color w:val="000000" w:themeColor="text1"/>
          <w:lang w:val="pt-BR"/>
        </w:rPr>
      </w:pPr>
    </w:p>
    <w:p w14:paraId="5EC48565" w14:textId="040BFDEC" w:rsidR="0029245C" w:rsidRDefault="0029245C" w:rsidP="0029245C">
      <w:pPr>
        <w:rPr>
          <w:rFonts w:cs="Times New Roman"/>
          <w:color w:val="000000" w:themeColor="text1"/>
          <w:lang w:val="pt-BR"/>
        </w:rPr>
      </w:pPr>
      <w:r w:rsidRPr="0029245C">
        <w:rPr>
          <w:rFonts w:cs="Times New Roman"/>
          <w:color w:val="000000" w:themeColor="text1"/>
          <w:lang w:val="pt-BR"/>
        </w:rPr>
        <w:t xml:space="preserve">Considerando a composição gravimétrica média disponibilizada pela ABRELPE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{"citationItems":[{"id":"ITEM-1","itemData":{"author":[{"dropping-particle":"","family":"ABRELPE","given":"","non-dropping-particle":"","parse-names":false,"suffix":""}],"id":"ITEM-1","issued":{"date-parts":[["2020"]]},"title":"PANORAMA DOS RESIDUOS SÓLIDOS NO BRASIL 2020","type":"report"},"uris":["http://www.mendeley.com/documents/?uuid=dedd3555-cd77-35e1-b70f-67774701d357"]}],"mendeley":{"formattedCitation":"[1]","plainTextFormattedCitation":"[1]","previouslyFormattedCitation":"[1]"},"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w:t>
      </w:r>
      <w:r w:rsidRPr="00E63A98">
        <w:rPr>
          <w:rFonts w:cs="Times New Roman"/>
          <w:color w:val="000000" w:themeColor="text1"/>
        </w:rPr>
        <w:fldChar w:fldCharType="end"/>
      </w:r>
      <w:r w:rsidRPr="0029245C">
        <w:rPr>
          <w:rFonts w:cs="Times New Roman"/>
          <w:color w:val="000000" w:themeColor="text1"/>
          <w:lang w:val="pt-BR"/>
        </w:rPr>
        <w:t xml:space="preserve">, 45,3% são aptos a compor um material </w:t>
      </w:r>
      <w:proofErr w:type="spellStart"/>
      <w:r w:rsidRPr="0029245C">
        <w:rPr>
          <w:rFonts w:cs="Times New Roman"/>
          <w:color w:val="000000" w:themeColor="text1"/>
          <w:lang w:val="pt-BR"/>
        </w:rPr>
        <w:t>biodigerível</w:t>
      </w:r>
      <w:proofErr w:type="spellEnd"/>
      <w:r w:rsidRPr="0029245C">
        <w:rPr>
          <w:rFonts w:cs="Times New Roman"/>
          <w:color w:val="000000" w:themeColor="text1"/>
          <w:lang w:val="pt-BR"/>
        </w:rPr>
        <w:t>, aqui chamado de FORSU. Por hipótese, assume-se que todo este material será processado para as condições típicas de biodigestão anaeróbia em reatores desenvolvidos especificamente para esta finalidade. Desta forma, pode-se calcular o potencial de produção de biogás, conforme é mostrado adiante, com equações adaptadas de</w:t>
      </w:r>
      <w:r w:rsidR="00C263F7">
        <w:rPr>
          <w:rFonts w:cs="Times New Roman"/>
          <w:color w:val="000000" w:themeColor="text1"/>
          <w:lang w:val="pt-BR"/>
        </w:rPr>
        <w:t xml:space="preserv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{"citationItems":[{"id":"ITEM-1","itemData":{"author":[{"dropping-particle":"","family":"Valente Santos","given":"Marco André","non-dropping-particle":"","parse-names":false,"suffix":""}],"id":"ITEM-1","issued":{"date-parts":[["2020"]]},"publisher":"Universidade Nova de Lisboa","publisher-place":"Lisboa","title":"Avaliação do potencial de produção de Biohidrogénio na ETVO da Valorsul","type":"thesis"},"uris":["http://www.mendeley.com/documents/?uuid=5b694a37-8a89-32c0-9ba2-a744dba75b24"]}],"mendeley":{"formattedCitation":"[8]","plainTextFormattedCitation":"[8]","previouslyFormattedCitation":"[8]"},"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[8]</w:t>
      </w:r>
      <w:r w:rsidRPr="00E63A98">
        <w:rPr>
          <w:rFonts w:cs="Times New Roman"/>
          <w:color w:val="000000" w:themeColor="text1"/>
        </w:rPr>
        <w:fldChar w:fldCharType="end"/>
      </w:r>
      <w:r w:rsidRPr="0029245C">
        <w:rPr>
          <w:rFonts w:cs="Times New Roman"/>
          <w:color w:val="000000" w:themeColor="text1"/>
          <w:lang w:val="pt-BR"/>
        </w:rPr>
        <w:t>.</w:t>
      </w:r>
    </w:p>
    <w:p w14:paraId="35D1226A" w14:textId="77777777" w:rsidR="0029245C" w:rsidRPr="0029245C" w:rsidRDefault="0029245C" w:rsidP="0029245C">
      <w:pPr>
        <w:rPr>
          <w:rFonts w:eastAsia="Times New Roman" w:cs="Times New Roman"/>
          <w:color w:val="000000" w:themeColor="text1"/>
          <w:u w:val="single"/>
          <w:lang w:val="pt-BR" w:eastAsia="pt-BR"/>
        </w:rPr>
      </w:pPr>
    </w:p>
    <w:p w14:paraId="343E6A61" w14:textId="5BBAE56A" w:rsidR="0029245C" w:rsidRPr="0029245C" w:rsidRDefault="0029245C" w:rsidP="0029245C">
      <w:pPr>
        <w:rPr>
          <w:rFonts w:cs="Times New Roman"/>
          <w:color w:val="000000" w:themeColor="text1"/>
          <w:lang w:val="pt-BR"/>
        </w:rPr>
      </w:pPr>
      <w:r w:rsidRPr="0029245C">
        <w:rPr>
          <w:rFonts w:cs="Times New Roman"/>
          <w:color w:val="000000" w:themeColor="text1"/>
          <w:lang w:val="pt-BR"/>
        </w:rPr>
        <w:t xml:space="preserve">A equação 1 dá a quantidade de </w:t>
      </w:r>
      <w:r w:rsidRPr="0029245C">
        <w:rPr>
          <w:rFonts w:cs="Times New Roman"/>
          <w:i/>
          <w:color w:val="000000" w:themeColor="text1"/>
          <w:lang w:val="pt-BR"/>
        </w:rPr>
        <w:t>FORSU</w:t>
      </w:r>
      <w:r w:rsidRPr="0029245C">
        <w:rPr>
          <w:rFonts w:cs="Times New Roman"/>
          <w:color w:val="000000" w:themeColor="text1"/>
          <w:lang w:val="pt-BR"/>
        </w:rPr>
        <w:t xml:space="preserve"> disponível após triagem e tratamento do RSU:</w:t>
      </w:r>
    </w:p>
    <w:p w14:paraId="5983DA49" w14:textId="77777777" w:rsidR="0029245C" w:rsidRPr="0029245C" w:rsidRDefault="0029245C" w:rsidP="0029245C">
      <w:pPr>
        <w:rPr>
          <w:rFonts w:cs="Times New Roman"/>
          <w:color w:val="000000" w:themeColor="text1"/>
          <w:lang w:val="pt-BR"/>
        </w:rPr>
      </w:pPr>
    </w:p>
    <w:p w14:paraId="325A1490" w14:textId="32311368" w:rsidR="0029245C" w:rsidRPr="0029245C" w:rsidRDefault="0029245C" w:rsidP="0029245C">
      <w:pPr>
        <w:rPr>
          <w:rFonts w:cs="Times New Roman"/>
          <w:color w:val="000000" w:themeColor="text1"/>
          <w:lang w:val="pt-BR"/>
        </w:rPr>
      </w:pPr>
      <w:r w:rsidRPr="0029245C">
        <w:rPr>
          <w:rFonts w:cs="Times New Roman"/>
          <w:i/>
          <w:color w:val="000000" w:themeColor="text1"/>
          <w:lang w:val="pt-BR"/>
        </w:rPr>
        <w:t>FORSU</w:t>
      </w:r>
      <w:r w:rsidRPr="0029245C">
        <w:rPr>
          <w:rFonts w:cs="Times New Roman"/>
          <w:i/>
          <w:color w:val="000000" w:themeColor="text1"/>
          <w:vertAlign w:val="subscript"/>
          <w:lang w:val="pt-BR"/>
        </w:rPr>
        <w:t>T</w:t>
      </w:r>
      <w:r w:rsidRPr="0029245C">
        <w:rPr>
          <w:rFonts w:cs="Times New Roman"/>
          <w:i/>
          <w:color w:val="000000" w:themeColor="text1"/>
          <w:lang w:val="pt-BR"/>
        </w:rPr>
        <w:t xml:space="preserve"> = RSU</w:t>
      </w:r>
      <w:r w:rsidRPr="0029245C">
        <w:rPr>
          <w:rFonts w:cs="Times New Roman"/>
          <w:i/>
          <w:color w:val="000000" w:themeColor="text1"/>
          <w:vertAlign w:val="subscript"/>
          <w:lang w:val="pt-BR"/>
        </w:rPr>
        <w:t>T</w:t>
      </w:r>
      <w:r w:rsidRPr="0029245C">
        <w:rPr>
          <w:rFonts w:cs="Times New Roman"/>
          <w:i/>
          <w:color w:val="000000" w:themeColor="text1"/>
          <w:lang w:val="pt-BR"/>
        </w:rPr>
        <w:t xml:space="preserve"> – </w:t>
      </w:r>
      <w:proofErr w:type="spellStart"/>
      <w:r w:rsidRPr="0029245C">
        <w:rPr>
          <w:rFonts w:cs="Times New Roman"/>
          <w:i/>
          <w:color w:val="000000" w:themeColor="text1"/>
          <w:lang w:val="pt-BR"/>
        </w:rPr>
        <w:t>RSU</w:t>
      </w:r>
      <w:r w:rsidRPr="0029245C">
        <w:rPr>
          <w:rFonts w:cs="Times New Roman"/>
          <w:i/>
          <w:color w:val="000000" w:themeColor="text1"/>
          <w:vertAlign w:val="subscript"/>
          <w:lang w:val="pt-BR"/>
        </w:rPr>
        <w:t>Aterro</w:t>
      </w:r>
      <w:proofErr w:type="spellEnd"/>
      <w:r w:rsidRPr="0029245C">
        <w:rPr>
          <w:rFonts w:cs="Times New Roman"/>
          <w:i/>
          <w:color w:val="000000" w:themeColor="text1"/>
          <w:lang w:val="pt-BR"/>
        </w:rPr>
        <w:t xml:space="preserve"> – </w:t>
      </w:r>
      <w:proofErr w:type="spellStart"/>
      <w:r w:rsidRPr="0029245C">
        <w:rPr>
          <w:rFonts w:cs="Times New Roman"/>
          <w:i/>
          <w:color w:val="000000" w:themeColor="text1"/>
          <w:lang w:val="pt-BR"/>
        </w:rPr>
        <w:t>RSU</w:t>
      </w:r>
      <w:r w:rsidRPr="0029245C">
        <w:rPr>
          <w:rFonts w:cs="Times New Roman"/>
          <w:i/>
          <w:color w:val="000000" w:themeColor="text1"/>
          <w:vertAlign w:val="subscript"/>
          <w:lang w:val="pt-BR"/>
        </w:rPr>
        <w:t>Triagem</w:t>
      </w:r>
      <w:proofErr w:type="spellEnd"/>
      <w:r w:rsidRPr="0029245C">
        <w:rPr>
          <w:rFonts w:cs="Times New Roman"/>
          <w:color w:val="000000" w:themeColor="text1"/>
          <w:lang w:val="pt-BR"/>
        </w:rPr>
        <w:t xml:space="preserve"> </w:t>
      </w:r>
      <w:r w:rsidR="00845BFA">
        <w:rPr>
          <w:rFonts w:cs="Times New Roman"/>
          <w:color w:val="000000" w:themeColor="text1"/>
          <w:lang w:val="pt-BR"/>
        </w:rPr>
        <w:t xml:space="preserve">            </w:t>
      </w:r>
      <w:proofErr w:type="gramStart"/>
      <w:r w:rsidR="00845BFA">
        <w:rPr>
          <w:rFonts w:cs="Times New Roman"/>
          <w:color w:val="000000" w:themeColor="text1"/>
          <w:lang w:val="pt-BR"/>
        </w:rPr>
        <w:t xml:space="preserve">   </w:t>
      </w:r>
      <w:r w:rsidRPr="0029245C">
        <w:rPr>
          <w:rFonts w:cs="Times New Roman"/>
          <w:color w:val="000000" w:themeColor="text1"/>
          <w:lang w:val="pt-BR"/>
        </w:rPr>
        <w:t>[</w:t>
      </w:r>
      <w:proofErr w:type="gramEnd"/>
      <w:r w:rsidRPr="0029245C">
        <w:rPr>
          <w:rFonts w:cs="Times New Roman"/>
          <w:color w:val="000000" w:themeColor="text1"/>
          <w:lang w:val="pt-BR"/>
        </w:rPr>
        <w:t>1]</w:t>
      </w:r>
    </w:p>
    <w:p w14:paraId="44D39D52" w14:textId="1EE224AA" w:rsidR="0029245C" w:rsidRPr="0029245C" w:rsidRDefault="0029245C" w:rsidP="0029245C">
      <w:pPr>
        <w:rPr>
          <w:rFonts w:cs="Times New Roman"/>
          <w:color w:val="000000" w:themeColor="text1"/>
          <w:lang w:val="pt-BR"/>
        </w:rPr>
      </w:pPr>
    </w:p>
    <w:p w14:paraId="054737CC" w14:textId="031E2C51" w:rsidR="0029245C" w:rsidRDefault="0029245C" w:rsidP="0029245C">
      <w:pPr>
        <w:rPr>
          <w:rFonts w:eastAsiaTheme="minorEastAsia" w:cs="Times New Roman"/>
          <w:color w:val="000000" w:themeColor="text1"/>
          <w:lang w:val="pt-BR"/>
        </w:rPr>
      </w:pPr>
      <w:r w:rsidRPr="0029245C">
        <w:rPr>
          <w:rFonts w:cs="Times New Roman"/>
          <w:color w:val="000000" w:themeColor="text1"/>
          <w:lang w:val="pt-BR"/>
        </w:rPr>
        <w:t xml:space="preserve">Em </w:t>
      </w:r>
      <w:proofErr w:type="gramStart"/>
      <w:r w:rsidRPr="0029245C">
        <w:rPr>
          <w:rFonts w:cs="Times New Roman"/>
          <w:color w:val="000000" w:themeColor="text1"/>
          <w:lang w:val="pt-BR"/>
        </w:rPr>
        <w:t xml:space="preserve">que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RSU</m:t>
            </m:r>
          </m:e>
          <m:sub>
            <m:r>
              <w:rPr>
                <w:rFonts w:ascii="Cambria Math" w:hAnsi="Cambria Math" w:cs="Times New Roman"/>
                <w:color w:val="000000" w:themeColor="text1"/>
              </w:rPr>
              <m:t>T</m:t>
            </m:r>
          </m:sub>
        </m:sSub>
      </m:oMath>
      <w:r w:rsidRPr="0029245C">
        <w:rPr>
          <w:rFonts w:eastAsiaTheme="minorEastAsia" w:cs="Times New Roman"/>
          <w:color w:val="000000" w:themeColor="text1"/>
          <w:lang w:val="pt-BR"/>
        </w:rPr>
        <w:t xml:space="preserve"> é</w:t>
      </w:r>
      <w:proofErr w:type="gramEnd"/>
      <w:r w:rsidRPr="0029245C">
        <w:rPr>
          <w:rFonts w:eastAsiaTheme="minorEastAsia" w:cs="Times New Roman"/>
          <w:color w:val="000000" w:themeColor="text1"/>
          <w:lang w:val="pt-BR"/>
        </w:rPr>
        <w:t xml:space="preserve"> o total de RSU coletado (t/dia),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RSU</m:t>
            </m:r>
          </m:e>
          <m:sub>
            <m:r>
              <w:rPr>
                <w:rFonts w:ascii="Cambria Math" w:hAnsi="Cambria Math" w:cs="Times New Roman"/>
                <w:color w:val="000000" w:themeColor="text1"/>
              </w:rPr>
              <m:t>Aterro</m:t>
            </m:r>
          </m:sub>
        </m:sSub>
      </m:oMath>
      <w:r w:rsidRPr="0029245C">
        <w:rPr>
          <w:rFonts w:eastAsiaTheme="minorEastAsia" w:cs="Times New Roman"/>
          <w:color w:val="000000" w:themeColor="text1"/>
          <w:lang w:val="pt-BR"/>
        </w:rPr>
        <w:t xml:space="preserve"> é o total de </w:t>
      </w:r>
      <w:r w:rsidRPr="0029245C">
        <w:rPr>
          <w:rFonts w:eastAsiaTheme="minorEastAsia" w:cs="Times New Roman"/>
          <w:i/>
          <w:color w:val="000000" w:themeColor="text1"/>
          <w:lang w:val="pt-BR"/>
        </w:rPr>
        <w:t>RSU</w:t>
      </w:r>
      <w:r w:rsidRPr="0029245C">
        <w:rPr>
          <w:rFonts w:eastAsiaTheme="minorEastAsia" w:cs="Times New Roman"/>
          <w:color w:val="000000" w:themeColor="text1"/>
          <w:lang w:val="pt-BR"/>
        </w:rPr>
        <w:t xml:space="preserve"> destinado ao aterro sanitário (t/dia) 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RSU</m:t>
            </m:r>
          </m:e>
          <m:sub>
            <m:r>
              <w:rPr>
                <w:rFonts w:ascii="Cambria Math" w:hAnsi="Cambria Math" w:cs="Times New Roman"/>
                <w:color w:val="000000" w:themeColor="text1"/>
              </w:rPr>
              <m:t>Triagem</m:t>
            </m:r>
          </m:sub>
        </m:sSub>
      </m:oMath>
      <w:r w:rsidRPr="0029245C">
        <w:rPr>
          <w:rFonts w:eastAsiaTheme="minorEastAsia" w:cs="Times New Roman"/>
          <w:color w:val="000000" w:themeColor="text1"/>
          <w:lang w:val="pt-BR"/>
        </w:rPr>
        <w:t xml:space="preserve"> é o total de </w:t>
      </w:r>
      <w:r w:rsidRPr="0029245C">
        <w:rPr>
          <w:rFonts w:eastAsiaTheme="minorEastAsia" w:cs="Times New Roman"/>
          <w:i/>
          <w:color w:val="000000" w:themeColor="text1"/>
          <w:lang w:val="pt-BR"/>
        </w:rPr>
        <w:t>RSU</w:t>
      </w:r>
      <w:r w:rsidRPr="0029245C">
        <w:rPr>
          <w:rFonts w:eastAsiaTheme="minorEastAsia" w:cs="Times New Roman"/>
          <w:color w:val="000000" w:themeColor="text1"/>
          <w:lang w:val="pt-BR"/>
        </w:rPr>
        <w:t xml:space="preserve"> separado para reciclagem (t/dia).</w:t>
      </w:r>
    </w:p>
    <w:p w14:paraId="33220D22" w14:textId="6B019C41" w:rsidR="0029245C" w:rsidRPr="0029245C" w:rsidRDefault="0029245C" w:rsidP="0029245C">
      <w:pPr>
        <w:rPr>
          <w:rFonts w:eastAsiaTheme="minorEastAsia" w:cs="Times New Roman"/>
          <w:color w:val="000000" w:themeColor="text1"/>
          <w:lang w:val="pt-BR"/>
        </w:rPr>
      </w:pPr>
    </w:p>
    <w:p w14:paraId="18343AE5" w14:textId="6274395D" w:rsidR="0029245C" w:rsidRPr="0029245C" w:rsidRDefault="0029245C" w:rsidP="0029245C">
      <w:pPr>
        <w:rPr>
          <w:rFonts w:cs="Times New Roman"/>
          <w:color w:val="000000" w:themeColor="text1"/>
          <w:lang w:val="pt-BR"/>
        </w:rPr>
      </w:pPr>
      <w:r w:rsidRPr="0029245C">
        <w:rPr>
          <w:rFonts w:cs="Times New Roman"/>
          <w:color w:val="000000" w:themeColor="text1"/>
          <w:lang w:val="pt-BR"/>
        </w:rPr>
        <w:t>A equação 2 dá a parcela de Sólidos Voláteis (SV) presentes na FORSU, que é consumida na digestão anaeróbia e posteriormente convertida em biogás:</w:t>
      </w:r>
    </w:p>
    <w:p w14:paraId="26C415FF" w14:textId="2C581FCB" w:rsidR="0029245C" w:rsidRPr="0029245C" w:rsidRDefault="0029245C" w:rsidP="0029245C">
      <w:pPr>
        <w:rPr>
          <w:rFonts w:cs="Times New Roman"/>
          <w:color w:val="000000" w:themeColor="text1"/>
          <w:lang w:val="pt-BR"/>
        </w:rPr>
      </w:pPr>
    </w:p>
    <w:p w14:paraId="4B8C90F5" w14:textId="35552957" w:rsidR="0029245C" w:rsidRPr="0029245C" w:rsidRDefault="0029245C" w:rsidP="0029245C">
      <w:pPr>
        <w:rPr>
          <w:rFonts w:cs="Times New Roman"/>
          <w:i/>
          <w:color w:val="000000" w:themeColor="text1"/>
          <w:lang w:val="pt-BR"/>
        </w:rPr>
      </w:pPr>
      <w:r w:rsidRPr="0029245C">
        <w:rPr>
          <w:rFonts w:cs="Times New Roman"/>
          <w:i/>
          <w:color w:val="000000" w:themeColor="text1"/>
          <w:lang w:val="pt-BR"/>
        </w:rPr>
        <w:lastRenderedPageBreak/>
        <w:t>FORSU</w:t>
      </w:r>
      <w:r w:rsidRPr="0029245C">
        <w:rPr>
          <w:rFonts w:cs="Times New Roman"/>
          <w:i/>
          <w:color w:val="000000" w:themeColor="text1"/>
          <w:vertAlign w:val="subscript"/>
          <w:lang w:val="pt-BR"/>
        </w:rPr>
        <w:t>SV</w:t>
      </w:r>
      <w:r w:rsidRPr="0029245C">
        <w:rPr>
          <w:rFonts w:cs="Times New Roman"/>
          <w:i/>
          <w:color w:val="000000" w:themeColor="text1"/>
          <w:lang w:val="pt-BR"/>
        </w:rPr>
        <w:t xml:space="preserve"> = </w:t>
      </w:r>
      <w:proofErr w:type="spellStart"/>
      <w:r w:rsidRPr="0029245C">
        <w:rPr>
          <w:rFonts w:cs="Times New Roman"/>
          <w:i/>
          <w:color w:val="000000" w:themeColor="text1"/>
          <w:lang w:val="pt-BR"/>
        </w:rPr>
        <w:t>FORSU</w:t>
      </w:r>
      <w:r w:rsidRPr="0029245C">
        <w:rPr>
          <w:rFonts w:cs="Times New Roman"/>
          <w:i/>
          <w:color w:val="000000" w:themeColor="text1"/>
          <w:vertAlign w:val="subscript"/>
          <w:lang w:val="pt-BR"/>
        </w:rPr>
        <w:t>Total</w:t>
      </w:r>
      <w:proofErr w:type="spellEnd"/>
      <w:r w:rsidRPr="0029245C">
        <w:rPr>
          <w:rFonts w:cs="Times New Roman"/>
          <w:i/>
          <w:color w:val="000000" w:themeColor="text1"/>
          <w:lang w:val="pt-BR"/>
        </w:rPr>
        <w:t xml:space="preserve"> × </w:t>
      </w:r>
      <w:r w:rsidRPr="00607AC0">
        <w:rPr>
          <w:rFonts w:cs="Times New Roman"/>
          <w:i/>
          <w:color w:val="000000" w:themeColor="text1"/>
        </w:rPr>
        <w:t>η</w:t>
      </w:r>
      <w:r w:rsidRPr="0029245C">
        <w:rPr>
          <w:rFonts w:cs="Times New Roman"/>
          <w:i/>
          <w:color w:val="000000" w:themeColor="text1"/>
          <w:vertAlign w:val="subscript"/>
          <w:lang w:val="pt-BR"/>
        </w:rPr>
        <w:t xml:space="preserve">SV </w:t>
      </w:r>
      <w:r w:rsidRPr="0029245C">
        <w:rPr>
          <w:rFonts w:cs="Times New Roman"/>
          <w:i/>
          <w:color w:val="000000" w:themeColor="text1"/>
          <w:lang w:val="pt-BR"/>
        </w:rPr>
        <w:t xml:space="preserve">              </w:t>
      </w:r>
      <w:r w:rsidR="00F546DD">
        <w:rPr>
          <w:rFonts w:cs="Times New Roman"/>
          <w:i/>
          <w:color w:val="000000" w:themeColor="text1"/>
          <w:lang w:val="pt-BR"/>
        </w:rPr>
        <w:t xml:space="preserve">              </w:t>
      </w:r>
      <w:proofErr w:type="gramStart"/>
      <w:r w:rsidRPr="0029245C">
        <w:rPr>
          <w:rFonts w:cs="Times New Roman"/>
          <w:i/>
          <w:color w:val="000000" w:themeColor="text1"/>
          <w:lang w:val="pt-BR"/>
        </w:rPr>
        <w:t xml:space="preserve">   </w:t>
      </w:r>
      <w:r w:rsidRPr="0029245C">
        <w:rPr>
          <w:rFonts w:cs="Times New Roman"/>
          <w:color w:val="000000" w:themeColor="text1"/>
          <w:lang w:val="pt-BR"/>
        </w:rPr>
        <w:t>[</w:t>
      </w:r>
      <w:proofErr w:type="gramEnd"/>
      <w:r w:rsidRPr="0029245C">
        <w:rPr>
          <w:rFonts w:cs="Times New Roman"/>
          <w:color w:val="000000" w:themeColor="text1"/>
          <w:lang w:val="pt-BR"/>
        </w:rPr>
        <w:t>2]</w:t>
      </w:r>
    </w:p>
    <w:p w14:paraId="6AA1DF1E" w14:textId="69A1E9A9" w:rsidR="0029245C" w:rsidRPr="0029245C" w:rsidRDefault="0029245C" w:rsidP="0029245C">
      <w:pPr>
        <w:rPr>
          <w:rFonts w:cs="Times New Roman"/>
          <w:color w:val="000000" w:themeColor="text1"/>
          <w:lang w:val="pt-BR"/>
        </w:rPr>
      </w:pPr>
    </w:p>
    <w:p w14:paraId="5EF9731D" w14:textId="77777777" w:rsidR="0029245C" w:rsidRPr="0029245C" w:rsidRDefault="0029245C" w:rsidP="0029245C">
      <w:pPr>
        <w:rPr>
          <w:rFonts w:cs="Times New Roman"/>
          <w:color w:val="000000" w:themeColor="text1"/>
          <w:lang w:val="pt-BR"/>
        </w:rPr>
      </w:pPr>
      <w:r w:rsidRPr="0029245C">
        <w:rPr>
          <w:rFonts w:cs="Times New Roman"/>
          <w:color w:val="000000" w:themeColor="text1"/>
          <w:lang w:val="pt-BR"/>
        </w:rPr>
        <w:t xml:space="preserve">Em </w:t>
      </w:r>
      <w:proofErr w:type="gramStart"/>
      <w:r w:rsidRPr="0029245C">
        <w:rPr>
          <w:rFonts w:cs="Times New Roman"/>
          <w:color w:val="000000" w:themeColor="text1"/>
          <w:lang w:val="pt-BR"/>
        </w:rPr>
        <w:t xml:space="preserve">que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FORSU</m:t>
            </m:r>
          </m:e>
          <m:sub>
            <m:r>
              <w:rPr>
                <w:rFonts w:ascii="Cambria Math" w:hAnsi="Cambria Math" w:cs="Times New Roman"/>
                <w:color w:val="000000" w:themeColor="text1"/>
              </w:rPr>
              <m:t>SV</m:t>
            </m:r>
          </m:sub>
        </m:sSub>
      </m:oMath>
      <w:r w:rsidRPr="0029245C">
        <w:rPr>
          <w:rFonts w:eastAsiaTheme="minorEastAsia" w:cs="Times New Roman"/>
          <w:color w:val="000000" w:themeColor="text1"/>
          <w:lang w:val="pt-BR"/>
        </w:rPr>
        <w:t xml:space="preserve"> é</w:t>
      </w:r>
      <w:proofErr w:type="gramEnd"/>
      <w:r w:rsidRPr="0029245C">
        <w:rPr>
          <w:rFonts w:eastAsiaTheme="minorEastAsia" w:cs="Times New Roman"/>
          <w:color w:val="000000" w:themeColor="text1"/>
          <w:lang w:val="pt-BR"/>
        </w:rPr>
        <w:t xml:space="preserve"> o total (t/dia) de Sólidos Voláteis (SV) contidos na fração orgânica dos resíduos 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MV</m:t>
            </m:r>
          </m:sub>
        </m:sSub>
        <m:r>
          <w:rPr>
            <w:rFonts w:ascii="Cambria Math" w:hAnsi="Cambria Math" w:cs="Times New Roman"/>
            <w:color w:val="000000" w:themeColor="text1"/>
            <w:lang w:val="pt-BR"/>
          </w:rPr>
          <m:t xml:space="preserve"> </m:t>
        </m:r>
      </m:oMath>
      <w:r w:rsidRPr="0029245C">
        <w:rPr>
          <w:rFonts w:eastAsiaTheme="minorEastAsia" w:cs="Times New Roman"/>
          <w:color w:val="000000" w:themeColor="text1"/>
          <w:lang w:val="pt-BR"/>
        </w:rPr>
        <w:t xml:space="preserve">é percentagem de matéria volátil </w:t>
      </w:r>
      <w:r w:rsidRPr="0029245C">
        <w:rPr>
          <w:rFonts w:cs="Times New Roman"/>
          <w:color w:val="000000" w:themeColor="text1"/>
          <w:lang w:val="pt-BR"/>
        </w:rPr>
        <w:t xml:space="preserve">(% </w:t>
      </w:r>
      <w:r w:rsidRPr="00E63A98">
        <w:rPr>
          <w:rFonts w:ascii="Cambria Math" w:hAnsi="Cambria Math" w:cs="Cambria Math"/>
          <w:color w:val="000000" w:themeColor="text1"/>
        </w:rPr>
        <w:t>𝑆𝑉</w:t>
      </w:r>
      <w:r w:rsidRPr="0029245C">
        <w:rPr>
          <w:rFonts w:cs="Times New Roman"/>
          <w:color w:val="000000" w:themeColor="text1"/>
          <w:lang w:val="pt-BR"/>
        </w:rPr>
        <w:t xml:space="preserve"> ⁄ </w:t>
      </w:r>
      <w:r w:rsidRPr="00E63A98">
        <w:rPr>
          <w:rFonts w:ascii="Cambria Math" w:hAnsi="Cambria Math" w:cs="Cambria Math"/>
          <w:color w:val="000000" w:themeColor="text1"/>
        </w:rPr>
        <w:t>𝑆𝑇</w:t>
      </w:r>
      <w:r w:rsidRPr="0029245C">
        <w:rPr>
          <w:rFonts w:cs="Times New Roman"/>
          <w:color w:val="000000" w:themeColor="text1"/>
          <w:lang w:val="pt-BR"/>
        </w:rPr>
        <w:t>).</w:t>
      </w:r>
    </w:p>
    <w:p w14:paraId="22C20AFC" w14:textId="77777777" w:rsidR="0029245C" w:rsidRPr="0029245C" w:rsidRDefault="0029245C" w:rsidP="0029245C">
      <w:pPr>
        <w:rPr>
          <w:rFonts w:cs="Times New Roman"/>
          <w:color w:val="000000" w:themeColor="text1"/>
          <w:lang w:val="pt-BR"/>
        </w:rPr>
      </w:pPr>
      <w:r w:rsidRPr="0029245C">
        <w:rPr>
          <w:rFonts w:cs="Times New Roman"/>
          <w:color w:val="000000" w:themeColor="text1"/>
          <w:lang w:val="pt-BR"/>
        </w:rPr>
        <w:t>O potencial de geração de biogás é dado pela equação [3]:</w:t>
      </w:r>
    </w:p>
    <w:p w14:paraId="092C2B29" w14:textId="77777777" w:rsidR="0029245C" w:rsidRPr="0029245C" w:rsidRDefault="0029245C" w:rsidP="0029245C">
      <w:pPr>
        <w:rPr>
          <w:rFonts w:cs="Times New Roman"/>
          <w:color w:val="000000" w:themeColor="text1"/>
          <w:lang w:val="pt-BR"/>
        </w:rPr>
      </w:pPr>
    </w:p>
    <w:p w14:paraId="7E806D8D" w14:textId="41673A2B" w:rsidR="0029245C" w:rsidRPr="0029245C" w:rsidRDefault="0029245C" w:rsidP="0029245C">
      <w:pPr>
        <w:rPr>
          <w:rFonts w:cs="Times New Roman"/>
          <w:color w:val="000000" w:themeColor="text1"/>
          <w:lang w:val="pt-BR"/>
        </w:rPr>
      </w:pPr>
      <w:proofErr w:type="spellStart"/>
      <w:proofErr w:type="gramStart"/>
      <w:r w:rsidRPr="0029245C">
        <w:rPr>
          <w:rFonts w:cs="Times New Roman"/>
          <w:i/>
          <w:color w:val="000000" w:themeColor="text1"/>
          <w:lang w:val="pt-BR"/>
        </w:rPr>
        <w:t>m</w:t>
      </w:r>
      <w:r w:rsidRPr="0029245C">
        <w:rPr>
          <w:rFonts w:cs="Times New Roman"/>
          <w:i/>
          <w:color w:val="000000" w:themeColor="text1"/>
          <w:vertAlign w:val="subscript"/>
          <w:lang w:val="pt-BR"/>
        </w:rPr>
        <w:t>Bio</w:t>
      </w:r>
      <w:proofErr w:type="spellEnd"/>
      <w:proofErr w:type="gramEnd"/>
      <w:r w:rsidRPr="0029245C">
        <w:rPr>
          <w:rFonts w:cs="Times New Roman"/>
          <w:i/>
          <w:color w:val="000000" w:themeColor="text1"/>
          <w:lang w:val="pt-BR"/>
        </w:rPr>
        <w:t xml:space="preserve"> = FORSU</w:t>
      </w:r>
      <w:r w:rsidRPr="0029245C">
        <w:rPr>
          <w:rFonts w:cs="Times New Roman"/>
          <w:i/>
          <w:color w:val="000000" w:themeColor="text1"/>
          <w:vertAlign w:val="subscript"/>
          <w:lang w:val="pt-BR"/>
        </w:rPr>
        <w:t>SV</w:t>
      </w:r>
      <w:r w:rsidRPr="0029245C">
        <w:rPr>
          <w:rFonts w:cs="Times New Roman"/>
          <w:i/>
          <w:color w:val="000000" w:themeColor="text1"/>
          <w:lang w:val="pt-BR"/>
        </w:rPr>
        <w:t xml:space="preserve"> × </w:t>
      </w:r>
      <w:r w:rsidRPr="00E13DE6">
        <w:rPr>
          <w:rFonts w:cs="Times New Roman"/>
          <w:i/>
          <w:color w:val="000000" w:themeColor="text1"/>
        </w:rPr>
        <w:t>η</w:t>
      </w:r>
      <w:proofErr w:type="spellStart"/>
      <w:r w:rsidRPr="0029245C">
        <w:rPr>
          <w:rFonts w:cs="Times New Roman"/>
          <w:i/>
          <w:color w:val="000000" w:themeColor="text1"/>
          <w:vertAlign w:val="subscript"/>
          <w:lang w:val="pt-BR"/>
        </w:rPr>
        <w:t>Bio</w:t>
      </w:r>
      <w:proofErr w:type="spellEnd"/>
      <w:r w:rsidRPr="0029245C">
        <w:rPr>
          <w:rFonts w:cs="Times New Roman"/>
          <w:i/>
          <w:color w:val="000000" w:themeColor="text1"/>
          <w:vertAlign w:val="subscript"/>
          <w:lang w:val="pt-BR"/>
        </w:rPr>
        <w:t xml:space="preserve"> </w:t>
      </w:r>
      <w:r w:rsidRPr="0029245C">
        <w:rPr>
          <w:rFonts w:cs="Times New Roman"/>
          <w:i/>
          <w:color w:val="000000" w:themeColor="text1"/>
          <w:lang w:val="pt-BR"/>
        </w:rPr>
        <w:t xml:space="preserve">                       </w:t>
      </w:r>
      <w:r w:rsidRPr="0029245C">
        <w:rPr>
          <w:rFonts w:cs="Times New Roman"/>
          <w:color w:val="000000" w:themeColor="text1"/>
          <w:lang w:val="pt-BR"/>
        </w:rPr>
        <w:t xml:space="preserve">  </w:t>
      </w:r>
      <w:r w:rsidR="00D6608E">
        <w:rPr>
          <w:rFonts w:cs="Times New Roman"/>
          <w:color w:val="000000" w:themeColor="text1"/>
          <w:lang w:val="pt-BR"/>
        </w:rPr>
        <w:t xml:space="preserve">                </w:t>
      </w:r>
      <w:r w:rsidRPr="0029245C">
        <w:rPr>
          <w:rFonts w:cs="Times New Roman"/>
          <w:color w:val="000000" w:themeColor="text1"/>
          <w:lang w:val="pt-BR"/>
        </w:rPr>
        <w:t xml:space="preserve">   [3]</w:t>
      </w:r>
    </w:p>
    <w:p w14:paraId="1FF7BA21" w14:textId="77777777" w:rsidR="0029245C" w:rsidRPr="0029245C" w:rsidRDefault="0029245C" w:rsidP="0029245C">
      <w:pPr>
        <w:rPr>
          <w:rFonts w:cs="Times New Roman"/>
          <w:color w:val="000000" w:themeColor="text1"/>
          <w:lang w:val="pt-BR"/>
        </w:rPr>
      </w:pPr>
    </w:p>
    <w:p w14:paraId="7DAC39DC" w14:textId="77777777" w:rsidR="0029245C" w:rsidRDefault="0029245C" w:rsidP="0029245C">
      <w:pPr>
        <w:rPr>
          <w:rFonts w:cs="Times New Roman"/>
          <w:color w:val="000000" w:themeColor="text1"/>
          <w:lang w:val="pt-BR"/>
        </w:rPr>
      </w:pPr>
      <w:r w:rsidRPr="0029245C">
        <w:rPr>
          <w:rFonts w:cs="Times New Roman"/>
          <w:color w:val="000000" w:themeColor="text1"/>
          <w:lang w:val="pt-BR"/>
        </w:rPr>
        <w:t xml:space="preserve">Em </w:t>
      </w:r>
      <w:proofErr w:type="gramStart"/>
      <w:r w:rsidRPr="0029245C">
        <w:rPr>
          <w:rFonts w:cs="Times New Roman"/>
          <w:color w:val="000000" w:themeColor="text1"/>
          <w:lang w:val="pt-BR"/>
        </w:rPr>
        <w:t xml:space="preserve">que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m</m:t>
            </m:r>
            <m:r>
              <w:rPr>
                <w:rFonts w:ascii="Cambria Math" w:hAnsi="Cambria Math" w:cs="Times New Roman"/>
                <w:color w:val="000000" w:themeColor="text1"/>
                <w:lang w:val="pt-BR"/>
              </w:rPr>
              <m:t xml:space="preserve"> </m:t>
            </m:r>
          </m:e>
          <m:sub>
            <m:r>
              <w:rPr>
                <w:rFonts w:ascii="Cambria Math" w:hAnsi="Cambria Math" w:cs="Times New Roman"/>
                <w:color w:val="000000" w:themeColor="text1"/>
              </w:rPr>
              <m:t>Bio</m:t>
            </m:r>
          </m:sub>
        </m:sSub>
      </m:oMath>
      <w:r w:rsidRPr="0029245C">
        <w:rPr>
          <w:rFonts w:eastAsiaTheme="minorEastAsia" w:cs="Times New Roman"/>
          <w:color w:val="000000" w:themeColor="text1"/>
          <w:lang w:val="pt-BR"/>
        </w:rPr>
        <w:t xml:space="preserve"> (</w:t>
      </w:r>
      <w:proofErr w:type="gramEnd"/>
      <w:r w:rsidRPr="0029245C">
        <w:rPr>
          <w:rFonts w:eastAsiaTheme="minorEastAsia" w:cs="Times New Roman"/>
          <w:color w:val="000000" w:themeColor="text1"/>
          <w:lang w:val="pt-BR"/>
        </w:rPr>
        <w:t>kg/dia) é a massa diária de biogás produzida pela digestão anaeróbia da FORSU,</w:t>
      </w:r>
      <w:r w:rsidRPr="0029245C">
        <w:rPr>
          <w:rFonts w:cs="Times New Roman"/>
          <w:color w:val="000000" w:themeColor="text1"/>
          <w:lang w:val="pt-BR"/>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r>
              <w:rPr>
                <w:rFonts w:ascii="Cambria Math" w:hAnsi="Cambria Math" w:cs="Times New Roman"/>
                <w:color w:val="000000" w:themeColor="text1"/>
                <w:lang w:val="pt-BR"/>
              </w:rPr>
              <m:t xml:space="preserve"> </m:t>
            </m:r>
          </m:e>
          <m:sub>
            <m:r>
              <w:rPr>
                <w:rFonts w:ascii="Cambria Math" w:hAnsi="Cambria Math" w:cs="Times New Roman"/>
                <w:color w:val="000000" w:themeColor="text1"/>
              </w:rPr>
              <m:t>Bio</m:t>
            </m:r>
          </m:sub>
        </m:sSub>
      </m:oMath>
      <w:r w:rsidRPr="0029245C">
        <w:rPr>
          <w:rFonts w:cs="Times New Roman"/>
          <w:color w:val="000000" w:themeColor="text1"/>
          <w:lang w:val="pt-BR"/>
        </w:rPr>
        <w:t xml:space="preserve"> (kg</w:t>
      </w:r>
      <w:proofErr w:type="spellStart"/>
      <w:r w:rsidRPr="0029245C">
        <w:rPr>
          <w:rFonts w:cs="Times New Roman"/>
          <w:color w:val="000000" w:themeColor="text1"/>
          <w:vertAlign w:val="subscript"/>
          <w:lang w:val="pt-BR"/>
        </w:rPr>
        <w:t>biogas</w:t>
      </w:r>
      <w:proofErr w:type="spellEnd"/>
      <w:r w:rsidRPr="0029245C">
        <w:rPr>
          <w:rFonts w:cs="Times New Roman"/>
          <w:color w:val="000000" w:themeColor="text1"/>
          <w:lang w:val="pt-BR"/>
        </w:rPr>
        <w:t>/</w:t>
      </w:r>
      <w:proofErr w:type="spellStart"/>
      <w:r w:rsidRPr="0029245C">
        <w:rPr>
          <w:rFonts w:cs="Times New Roman"/>
          <w:color w:val="000000" w:themeColor="text1"/>
          <w:lang w:val="pt-BR"/>
        </w:rPr>
        <w:t>t</w:t>
      </w:r>
      <w:r w:rsidRPr="0029245C">
        <w:rPr>
          <w:rFonts w:cs="Times New Roman"/>
          <w:color w:val="000000" w:themeColor="text1"/>
          <w:vertAlign w:val="subscript"/>
          <w:lang w:val="pt-BR"/>
        </w:rPr>
        <w:t>SV</w:t>
      </w:r>
      <w:proofErr w:type="spellEnd"/>
      <w:r w:rsidRPr="0029245C">
        <w:rPr>
          <w:rFonts w:cs="Times New Roman"/>
          <w:color w:val="000000" w:themeColor="text1"/>
          <w:lang w:val="pt-BR"/>
        </w:rPr>
        <w:t xml:space="preserve"> ) é a taxa de conversão de SV em biogás.</w:t>
      </w:r>
    </w:p>
    <w:p w14:paraId="3C5E95E9" w14:textId="73F996C6" w:rsidR="0029245C" w:rsidRPr="0029245C" w:rsidRDefault="0029245C" w:rsidP="0029245C">
      <w:pPr>
        <w:rPr>
          <w:rFonts w:cs="Times New Roman"/>
          <w:color w:val="000000" w:themeColor="text1"/>
          <w:lang w:val="pt-BR"/>
        </w:rPr>
      </w:pPr>
    </w:p>
    <w:p w14:paraId="53349DC3" w14:textId="4AEBBD7E" w:rsidR="0029245C" w:rsidRDefault="0029245C" w:rsidP="0029245C">
      <w:pPr>
        <w:rPr>
          <w:rFonts w:cs="Times New Roman"/>
          <w:color w:val="000000" w:themeColor="text1"/>
          <w:lang w:val="pt-BR"/>
        </w:rPr>
      </w:pPr>
      <w:r w:rsidRPr="0029245C">
        <w:rPr>
          <w:rFonts w:cs="Times New Roman"/>
          <w:color w:val="000000" w:themeColor="text1"/>
          <w:lang w:val="pt-BR"/>
        </w:rPr>
        <w:t>O biogás é admitido como uma composição volumétrica de 65% de CH</w:t>
      </w:r>
      <w:r w:rsidRPr="0029245C">
        <w:rPr>
          <w:rFonts w:cs="Times New Roman"/>
          <w:color w:val="000000" w:themeColor="text1"/>
          <w:vertAlign w:val="subscript"/>
          <w:lang w:val="pt-BR"/>
        </w:rPr>
        <w:t>4</w:t>
      </w:r>
      <w:r w:rsidRPr="0029245C">
        <w:rPr>
          <w:rFonts w:cs="Times New Roman"/>
          <w:color w:val="000000" w:themeColor="text1"/>
          <w:lang w:val="pt-BR"/>
        </w:rPr>
        <w:t xml:space="preserve"> e 35% de CO</w:t>
      </w:r>
      <w:r w:rsidRPr="0029245C">
        <w:rPr>
          <w:rFonts w:cs="Times New Roman"/>
          <w:color w:val="000000" w:themeColor="text1"/>
          <w:vertAlign w:val="subscript"/>
          <w:lang w:val="pt-BR"/>
        </w:rPr>
        <w:t>2</w:t>
      </w:r>
      <w:r w:rsidRPr="0029245C">
        <w:rPr>
          <w:rFonts w:cs="Times New Roman"/>
          <w:color w:val="000000" w:themeColor="text1"/>
          <w:lang w:val="pt-BR"/>
        </w:rPr>
        <w:t xml:space="preserve">, conforme verificado por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{"citationItems":[{"id":"ITEM-1","itemData":{"author":[{"dropping-particle":"","family":"Xavier","given":"Beatriz Helene","non-dropping-particle":"","parse-names":false,"suffix":""}],"id":"ITEM-1","issued":{"date-parts":[["2016"]]},"publisher-place":"Guaratinguetá","title":"Aspectos termodinâmicos, ecológicos e econômicos de sistemas de cogeração com motores de combustão interna operando com gás natural, biogás e gás de síntese","type":"report"},"uris":["http://www.mendeley.com/documents/?uuid=fe9add58-6bd8-35d5-9155-9369564136f2"]}],"mendeley":{"formattedCitation":"[9]","plainTextFormattedCitation":"[9]","previouslyFormattedCitation":"[9]"},"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[9]</w:t>
      </w:r>
      <w:r w:rsidRPr="00E63A98">
        <w:rPr>
          <w:rFonts w:cs="Times New Roman"/>
          <w:color w:val="000000" w:themeColor="text1"/>
        </w:rPr>
        <w:fldChar w:fldCharType="end"/>
      </w:r>
      <w:r w:rsidRPr="0029245C">
        <w:rPr>
          <w:rFonts w:cs="Times New Roman"/>
          <w:color w:val="000000" w:themeColor="text1"/>
          <w:lang w:val="pt-BR"/>
        </w:rPr>
        <w:t>, sendo também calculado o PCI (</w:t>
      </w:r>
      <w:proofErr w:type="spellStart"/>
      <w:r w:rsidRPr="0029245C">
        <w:rPr>
          <w:rFonts w:cs="Times New Roman"/>
          <w:color w:val="000000" w:themeColor="text1"/>
          <w:lang w:val="pt-BR"/>
        </w:rPr>
        <w:t>kJ</w:t>
      </w:r>
      <w:proofErr w:type="spellEnd"/>
      <w:r w:rsidRPr="0029245C">
        <w:rPr>
          <w:rFonts w:cs="Times New Roman"/>
          <w:color w:val="000000" w:themeColor="text1"/>
          <w:lang w:val="pt-BR"/>
        </w:rPr>
        <w:t>/kg).</w:t>
      </w:r>
    </w:p>
    <w:p w14:paraId="13A9ED34" w14:textId="77777777" w:rsidR="0029245C" w:rsidRPr="0029245C" w:rsidRDefault="0029245C" w:rsidP="0029245C">
      <w:pPr>
        <w:rPr>
          <w:rFonts w:cs="Times New Roman"/>
          <w:color w:val="000000" w:themeColor="text1"/>
          <w:lang w:val="pt-BR"/>
        </w:rPr>
      </w:pPr>
    </w:p>
    <w:p w14:paraId="249530D0" w14:textId="77777777" w:rsidR="0029245C" w:rsidRDefault="0029245C" w:rsidP="0029245C">
      <w:pPr>
        <w:pStyle w:val="Ttulo1"/>
        <w:keepNext/>
        <w:keepLines/>
        <w:numPr>
          <w:ilvl w:val="2"/>
          <w:numId w:val="26"/>
        </w:numPr>
        <w:spacing w:line="259" w:lineRule="auto"/>
        <w:ind w:left="0" w:firstLine="0"/>
        <w:contextualSpacing w:val="0"/>
        <w:jc w:val="left"/>
        <w:rPr>
          <w:color w:val="000000" w:themeColor="text1"/>
        </w:rPr>
      </w:pPr>
      <w:proofErr w:type="spellStart"/>
      <w:r w:rsidRPr="00E63A98">
        <w:rPr>
          <w:color w:val="000000" w:themeColor="text1"/>
        </w:rPr>
        <w:t>Geração</w:t>
      </w:r>
      <w:proofErr w:type="spellEnd"/>
      <w:r w:rsidRPr="00E63A98">
        <w:rPr>
          <w:color w:val="000000" w:themeColor="text1"/>
        </w:rPr>
        <w:t xml:space="preserve"> de </w:t>
      </w:r>
      <w:proofErr w:type="spellStart"/>
      <w:r w:rsidRPr="00E63A98">
        <w:rPr>
          <w:color w:val="000000" w:themeColor="text1"/>
        </w:rPr>
        <w:t>bioeletricidade</w:t>
      </w:r>
      <w:proofErr w:type="spellEnd"/>
      <w:r w:rsidRPr="00E63A98">
        <w:rPr>
          <w:color w:val="000000" w:themeColor="text1"/>
        </w:rPr>
        <w:t xml:space="preserve"> </w:t>
      </w:r>
    </w:p>
    <w:p w14:paraId="0A7E4F6B" w14:textId="77777777" w:rsidR="0029245C" w:rsidRPr="002C085F" w:rsidRDefault="0029245C" w:rsidP="0029245C"/>
    <w:p w14:paraId="78FDAA65" w14:textId="77777777" w:rsidR="0029245C" w:rsidRDefault="0029245C" w:rsidP="0029245C">
      <w:pPr>
        <w:rPr>
          <w:rFonts w:cs="Times New Roman"/>
          <w:lang w:val="pt-BR"/>
        </w:rPr>
      </w:pPr>
      <w:r w:rsidRPr="0029245C">
        <w:rPr>
          <w:rFonts w:cs="Times New Roman"/>
          <w:lang w:val="pt-BR"/>
        </w:rPr>
        <w:t xml:space="preserve">A planta completa é composta por um biodigestor de FURSU, cujo biogás produzido é </w:t>
      </w:r>
      <w:proofErr w:type="spellStart"/>
      <w:r w:rsidRPr="0029245C">
        <w:rPr>
          <w:rFonts w:cs="Times New Roman"/>
          <w:lang w:val="pt-BR"/>
        </w:rPr>
        <w:t>descontaminado</w:t>
      </w:r>
      <w:proofErr w:type="spellEnd"/>
      <w:r w:rsidRPr="0029245C">
        <w:rPr>
          <w:rFonts w:cs="Times New Roman"/>
          <w:lang w:val="pt-BR"/>
        </w:rPr>
        <w:t xml:space="preserve"> de gases </w:t>
      </w:r>
      <w:proofErr w:type="spellStart"/>
      <w:r w:rsidRPr="0029245C">
        <w:rPr>
          <w:rFonts w:cs="Times New Roman"/>
          <w:lang w:val="pt-BR"/>
        </w:rPr>
        <w:t>SO</w:t>
      </w:r>
      <w:r w:rsidRPr="0029245C">
        <w:rPr>
          <w:rFonts w:cs="Times New Roman"/>
          <w:vertAlign w:val="subscript"/>
          <w:lang w:val="pt-BR"/>
        </w:rPr>
        <w:t>x</w:t>
      </w:r>
      <w:proofErr w:type="spellEnd"/>
      <w:r w:rsidRPr="0029245C">
        <w:rPr>
          <w:rFonts w:cs="Times New Roman"/>
          <w:lang w:val="pt-BR"/>
        </w:rPr>
        <w:t xml:space="preserve">, causadores de danos ambientais, um conjunto </w:t>
      </w:r>
      <w:proofErr w:type="spellStart"/>
      <w:r w:rsidRPr="0029245C">
        <w:rPr>
          <w:rFonts w:cs="Times New Roman"/>
          <w:lang w:val="pt-BR"/>
        </w:rPr>
        <w:t>turbogerador</w:t>
      </w:r>
      <w:proofErr w:type="spellEnd"/>
      <w:r w:rsidRPr="0029245C">
        <w:rPr>
          <w:rFonts w:cs="Times New Roman"/>
          <w:lang w:val="pt-BR"/>
        </w:rPr>
        <w:t xml:space="preserve">, composto por turbina a gás e gerador elétrico, conectado ao sistema elétrico local. </w:t>
      </w:r>
    </w:p>
    <w:p w14:paraId="3CAFDBE8" w14:textId="7C76628D" w:rsidR="0029245C" w:rsidRDefault="0029245C" w:rsidP="0029245C">
      <w:pPr>
        <w:rPr>
          <w:rFonts w:cs="Times New Roman"/>
          <w:lang w:val="pt-BR"/>
        </w:rPr>
      </w:pPr>
    </w:p>
    <w:p w14:paraId="2AB963A9" w14:textId="63E428B4" w:rsidR="0029245C" w:rsidRDefault="0029245C" w:rsidP="0029245C">
      <w:pPr>
        <w:rPr>
          <w:rFonts w:cs="Times New Roman"/>
          <w:lang w:val="pt-BR"/>
        </w:rPr>
      </w:pPr>
      <w:r w:rsidRPr="0029245C">
        <w:rPr>
          <w:rFonts w:cs="Times New Roman"/>
          <w:lang w:val="pt-BR"/>
        </w:rPr>
        <w:t xml:space="preserve">O caso de estudo para produção de hidrogênio eletrolítico considera o </w:t>
      </w:r>
      <w:proofErr w:type="spellStart"/>
      <w:r w:rsidRPr="0029245C">
        <w:rPr>
          <w:rFonts w:cs="Times New Roman"/>
          <w:lang w:val="pt-BR"/>
        </w:rPr>
        <w:t>eletrolisador</w:t>
      </w:r>
      <w:proofErr w:type="spellEnd"/>
      <w:r w:rsidRPr="0029245C">
        <w:rPr>
          <w:rFonts w:cs="Times New Roman"/>
          <w:lang w:val="pt-BR"/>
        </w:rPr>
        <w:t xml:space="preserve"> conectado ao barramento de saída do gerador, consumindo a energia elétrica gerada pela planta.</w:t>
      </w:r>
    </w:p>
    <w:p w14:paraId="233E902F" w14:textId="5B62797C" w:rsidR="0051388C" w:rsidRDefault="0051388C" w:rsidP="0029245C">
      <w:pPr>
        <w:rPr>
          <w:rFonts w:cs="Times New Roman"/>
          <w:lang w:val="pt-BR"/>
        </w:rPr>
      </w:pPr>
    </w:p>
    <w:p w14:paraId="358AA260" w14:textId="7C1BEF8B" w:rsidR="0051388C" w:rsidRDefault="0029245C" w:rsidP="0029245C">
      <w:pPr>
        <w:rPr>
          <w:rFonts w:cs="Times New Roman"/>
          <w:lang w:val="pt-BR"/>
        </w:rPr>
      </w:pPr>
      <w:r w:rsidRPr="0029245C">
        <w:rPr>
          <w:rFonts w:cs="Times New Roman"/>
          <w:lang w:val="pt-BR"/>
        </w:rPr>
        <w:t xml:space="preserve">A Figura 2 mostra os componentes da planta de geração de energia elétrica e </w:t>
      </w:r>
      <w:proofErr w:type="spellStart"/>
      <w:r w:rsidRPr="0029245C">
        <w:rPr>
          <w:rFonts w:cs="Times New Roman"/>
          <w:lang w:val="pt-BR"/>
        </w:rPr>
        <w:t>biohidrogênio</w:t>
      </w:r>
      <w:proofErr w:type="spellEnd"/>
      <w:r w:rsidRPr="0029245C">
        <w:rPr>
          <w:rFonts w:cs="Times New Roman"/>
          <w:lang w:val="pt-BR"/>
        </w:rPr>
        <w:t xml:space="preserve"> a partir do biogás produzido no biodigestor com a DA</w:t>
      </w:r>
      <w:r w:rsidR="0051388C">
        <w:rPr>
          <w:rFonts w:cs="Times New Roman"/>
          <w:lang w:val="pt-BR"/>
        </w:rPr>
        <w:t xml:space="preserve"> </w:t>
      </w:r>
      <w:proofErr w:type="spellStart"/>
      <w:r w:rsidRPr="0029245C">
        <w:rPr>
          <w:rFonts w:cs="Times New Roman"/>
          <w:lang w:val="pt-BR"/>
        </w:rPr>
        <w:t>da</w:t>
      </w:r>
      <w:proofErr w:type="spellEnd"/>
      <w:r w:rsidRPr="0029245C">
        <w:rPr>
          <w:rFonts w:cs="Times New Roman"/>
          <w:lang w:val="pt-BR"/>
        </w:rPr>
        <w:t xml:space="preserve"> FORSU. </w:t>
      </w:r>
    </w:p>
    <w:p w14:paraId="40233F42" w14:textId="77777777" w:rsidR="0051388C" w:rsidRDefault="0051388C" w:rsidP="0029245C">
      <w:pPr>
        <w:rPr>
          <w:rFonts w:cs="Times New Roman"/>
          <w:lang w:val="pt-BR"/>
        </w:rPr>
      </w:pPr>
    </w:p>
    <w:p w14:paraId="0321C7CC" w14:textId="24FB7C25" w:rsidR="0029245C" w:rsidRPr="0029245C" w:rsidRDefault="00E20CDC" w:rsidP="0029245C">
      <w:pPr>
        <w:rPr>
          <w:rFonts w:cs="Times New Roman"/>
          <w:lang w:val="pt-BR"/>
        </w:rPr>
      </w:pPr>
      <w:r w:rsidRPr="0051388C">
        <w:rPr>
          <w:rFonts w:cs="Times New Roman"/>
          <w:noProof/>
          <w:color w:val="000000" w:themeColor="text1"/>
          <w:lang w:val="pt-BR" w:eastAsia="pt-BR"/>
        </w:rPr>
        <w:lastRenderedPageBreak/>
        <mc:AlternateContent>
          <mc:Choice Requires="wps">
            <w:drawing>
              <wp:anchor distT="0" distB="0" distL="114300" distR="114300" simplePos="0" relativeHeight="251669504" behindDoc="0" locked="0" layoutInCell="1" allowOverlap="1" wp14:anchorId="30B17ADD" wp14:editId="40FA57B8">
                <wp:simplePos x="0" y="0"/>
                <wp:positionH relativeFrom="column">
                  <wp:posOffset>1102360</wp:posOffset>
                </wp:positionH>
                <wp:positionV relativeFrom="paragraph">
                  <wp:posOffset>-276860</wp:posOffset>
                </wp:positionV>
                <wp:extent cx="2997200" cy="1403985"/>
                <wp:effectExtent l="0" t="0" r="0" b="7620"/>
                <wp:wrapTopAndBottom/>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03985"/>
                        </a:xfrm>
                        <a:prstGeom prst="rect">
                          <a:avLst/>
                        </a:prstGeom>
                        <a:solidFill>
                          <a:srgbClr val="FFFFFF"/>
                        </a:solidFill>
                        <a:ln w="9525">
                          <a:noFill/>
                          <a:miter lim="800000"/>
                          <a:headEnd/>
                          <a:tailEnd/>
                        </a:ln>
                      </wps:spPr>
                      <wps:txbx>
                        <w:txbxContent>
                          <w:p w14:paraId="64AFAED6" w14:textId="77777777" w:rsidR="0055406C" w:rsidRDefault="0055406C" w:rsidP="00E20CDC">
                            <w:pPr>
                              <w:jc w:val="center"/>
                              <w:rPr>
                                <w:rFonts w:cs="Times New Roman"/>
                                <w:lang w:val="pt-BR"/>
                              </w:rPr>
                            </w:pPr>
                            <w:r w:rsidRPr="0029245C">
                              <w:rPr>
                                <w:rFonts w:cs="Times New Roman"/>
                                <w:lang w:val="pt-BR"/>
                              </w:rPr>
                              <w:t xml:space="preserve">Figura 2: Planta de geração de </w:t>
                            </w:r>
                            <w:proofErr w:type="spellStart"/>
                            <w:r w:rsidRPr="0029245C">
                              <w:rPr>
                                <w:rFonts w:cs="Times New Roman"/>
                                <w:lang w:val="pt-BR"/>
                              </w:rPr>
                              <w:t>bioeletricidade</w:t>
                            </w:r>
                            <w:proofErr w:type="spellEnd"/>
                            <w:r w:rsidRPr="0029245C">
                              <w:rPr>
                                <w:rFonts w:cs="Times New Roman"/>
                                <w:lang w:val="pt-BR"/>
                              </w:rPr>
                              <w:t xml:space="preserve"> e produção de </w:t>
                            </w:r>
                            <w:proofErr w:type="spellStart"/>
                            <w:r w:rsidRPr="0029245C">
                              <w:rPr>
                                <w:rFonts w:cs="Times New Roman"/>
                                <w:lang w:val="pt-BR"/>
                              </w:rPr>
                              <w:t>biohidrogênio</w:t>
                            </w:r>
                            <w:proofErr w:type="spellEnd"/>
                            <w:r w:rsidRPr="0029245C">
                              <w:rPr>
                                <w:rFonts w:cs="Times New Roman"/>
                                <w:lang w:val="pt-BR"/>
                              </w:rPr>
                              <w:t>.</w:t>
                            </w:r>
                          </w:p>
                          <w:p w14:paraId="42D32C12" w14:textId="77777777" w:rsidR="0055406C" w:rsidRPr="0029245C" w:rsidRDefault="0055406C" w:rsidP="00E20CDC">
                            <w:pPr>
                              <w:jc w:val="center"/>
                              <w:rPr>
                                <w:rFonts w:cs="Times New Roman"/>
                                <w:lang w:val="pt-BR"/>
                              </w:rPr>
                            </w:pPr>
                          </w:p>
                          <w:p w14:paraId="3A4E90B2" w14:textId="77777777" w:rsidR="0055406C" w:rsidRPr="00E63A98" w:rsidRDefault="0055406C" w:rsidP="00E20CDC">
                            <w:pPr>
                              <w:jc w:val="center"/>
                              <w:rPr>
                                <w:rFonts w:cs="Times New Roman"/>
                              </w:rPr>
                            </w:pPr>
                            <w:r w:rsidRPr="00E63A98">
                              <w:rPr>
                                <w:rFonts w:cs="Times New Roman"/>
                                <w:noProof/>
                                <w:color w:val="FF0000"/>
                                <w:lang w:val="pt-BR" w:eastAsia="pt-BR"/>
                              </w:rPr>
                              <w:drawing>
                                <wp:inline distT="0" distB="0" distL="0" distR="0" wp14:anchorId="364B7401" wp14:editId="07AE0EDA">
                                  <wp:extent cx="2242267" cy="2282233"/>
                                  <wp:effectExtent l="0" t="0" r="5715" b="3810"/>
                                  <wp:docPr id="20" name="Imagem 20" descr="C:\Users\Convidado\Downloads\Diagrama sem 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vidado\Downloads\Diagrama sem no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489" cy="2282459"/>
                                          </a:xfrm>
                                          <a:prstGeom prst="rect">
                                            <a:avLst/>
                                          </a:prstGeom>
                                          <a:noFill/>
                                          <a:ln>
                                            <a:noFill/>
                                          </a:ln>
                                        </pic:spPr>
                                      </pic:pic>
                                    </a:graphicData>
                                  </a:graphic>
                                </wp:inline>
                              </w:drawing>
                            </w:r>
                          </w:p>
                          <w:p w14:paraId="0E1427E7" w14:textId="796995D9" w:rsidR="0055406C" w:rsidRPr="001B2E00" w:rsidRDefault="0055406C" w:rsidP="00F546DD">
                            <w:pPr>
                              <w:spacing w:after="240"/>
                              <w:jc w:val="center"/>
                              <w:rPr>
                                <w:rFonts w:cs="Times New Roman"/>
                                <w:lang w:val="pt-BR"/>
                              </w:rPr>
                            </w:pPr>
                            <w:r w:rsidRPr="0029245C">
                              <w:rPr>
                                <w:rFonts w:cs="Times New Roman"/>
                                <w:lang w:val="pt-BR"/>
                              </w:rPr>
                              <w:t>Fonte: Elaboração própria.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17ADD" id="_x0000_s1027" type="#_x0000_t202" style="position:absolute;left:0;text-align:left;margin-left:86.8pt;margin-top:-21.8pt;width:23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yEJgIAACkEAAAOAAAAZHJzL2Uyb0RvYy54bWysU9tu2zAMfR+wfxD0vtjJki0x4hRdugwD&#10;ugvQ7gNoWY6FyaImKbGzry8lp2mwvQ3Tg0CJ5NHhIbW+GTrNjtJ5habk00nOmTQCa2X2Jf/xuHuz&#10;5MwHMDVoNLLkJ+n5zeb1q3VvCznDFnUtHSMQ44velrwNwRZZ5kUrO/ATtNKQs0HXQaCj22e1g57Q&#10;O53N8vxd1qOrrUMhvafbu9HJNwm/aaQI35rGy8B0yYlbSLtLexX3bLOGYu/AtkqcacA/sOhAGXr0&#10;AnUHAdjBqb+gOiUcemzCRGCXYdMoIVMNVM00/6OahxasTLWQON5eZPL/D1Z8PX53TNXUO84MdNSi&#10;LagBWC3ZoxwCslnUqLe+oNAHS8Fh+IBDjI/1enuP4qdnBrctmL28dQ77VkJNHKcxM7tKHXF8BKn6&#10;L1jTY3AImICGxnURkCRhhE69Ol36QzyYoMvZavWems6ZIN90nr9dLRfpDSie063z4ZPEjkWj5I4G&#10;IMHD8d6HSAeK55BEH7Wqd0rrdHD7aqsdOwINyy6tM7q/DtOG9SVfLWaLhGww5qc56lSgYdaqK/ky&#10;jyumQxHl+GjqZAdQerSJiTZnfaIkozhhqIZzOyg+aldhfSLBHI6zS3+NjBbdb856mtuS+18HcJIz&#10;/dmQ6KvpfB4HPR3mC9KLM3ftqa49YARBlTxwNprbkD5HksPeUnN2Ksn2wuRMmeYxqXn+O3Hgr88p&#10;6uWHb54AAAD//wMAUEsDBBQABgAIAAAAIQA3PazU3gAAAAsBAAAPAAAAZHJzL2Rvd25yZXYueG1s&#10;TI/BTsMwEETvSPyDtUjcWgdo0iqNU1VUXDggUZDg6MZOHBGvLdtNw9+zOdHbjGY0+7baTXZgow6x&#10;dyjgYZkB09g41WMn4PPjZbEBFpNEJQeHWsCvjrCrb28qWSp3wXc9HlPHaARjKQWYlHzJeWyMtjIu&#10;nddIWeuClYls6LgK8kLjduCPWVZwK3ukC0Z6/Wx083M8WwFf1vTqEN6+WzWMh9d2n/speCHu76b9&#10;FljSU/ovw4xP6FAT08mdUUU2kF8/FVQVsFjNghrFKidxmqN1Dryu+PUP9R8AAAD//wMAUEsBAi0A&#10;FAAGAAgAAAAhALaDOJL+AAAA4QEAABMAAAAAAAAAAAAAAAAAAAAAAFtDb250ZW50X1R5cGVzXS54&#10;bWxQSwECLQAUAAYACAAAACEAOP0h/9YAAACUAQAACwAAAAAAAAAAAAAAAAAvAQAAX3JlbHMvLnJl&#10;bHNQSwECLQAUAAYACAAAACEAPNIchCYCAAApBAAADgAAAAAAAAAAAAAAAAAuAgAAZHJzL2Uyb0Rv&#10;Yy54bWxQSwECLQAUAAYACAAAACEANz2s1N4AAAALAQAADwAAAAAAAAAAAAAAAACABAAAZHJzL2Rv&#10;d25yZXYueG1sUEsFBgAAAAAEAAQA8wAAAIsFAAAAAA==&#10;" stroked="f">
                <v:textbox style="mso-fit-shape-to-text:t">
                  <w:txbxContent>
                    <w:p w14:paraId="64AFAED6" w14:textId="77777777" w:rsidR="0055406C" w:rsidRDefault="0055406C" w:rsidP="00E20CDC">
                      <w:pPr>
                        <w:jc w:val="center"/>
                        <w:rPr>
                          <w:rFonts w:cs="Times New Roman"/>
                          <w:lang w:val="pt-BR"/>
                        </w:rPr>
                      </w:pPr>
                      <w:r w:rsidRPr="0029245C">
                        <w:rPr>
                          <w:rFonts w:cs="Times New Roman"/>
                          <w:lang w:val="pt-BR"/>
                        </w:rPr>
                        <w:t>Figura 2: Planta de geração de bioeletricidade e produção de biohidrogênio.</w:t>
                      </w:r>
                    </w:p>
                    <w:p w14:paraId="42D32C12" w14:textId="77777777" w:rsidR="0055406C" w:rsidRPr="0029245C" w:rsidRDefault="0055406C" w:rsidP="00E20CDC">
                      <w:pPr>
                        <w:jc w:val="center"/>
                        <w:rPr>
                          <w:rFonts w:cs="Times New Roman"/>
                          <w:lang w:val="pt-BR"/>
                        </w:rPr>
                      </w:pPr>
                    </w:p>
                    <w:p w14:paraId="3A4E90B2" w14:textId="77777777" w:rsidR="0055406C" w:rsidRPr="00E63A98" w:rsidRDefault="0055406C" w:rsidP="00E20CDC">
                      <w:pPr>
                        <w:jc w:val="center"/>
                        <w:rPr>
                          <w:rFonts w:cs="Times New Roman"/>
                        </w:rPr>
                      </w:pPr>
                      <w:r w:rsidRPr="00E63A98">
                        <w:rPr>
                          <w:rFonts w:cs="Times New Roman"/>
                          <w:noProof/>
                          <w:color w:val="FF0000"/>
                          <w:lang w:val="pt-BR" w:eastAsia="pt-BR"/>
                        </w:rPr>
                        <w:drawing>
                          <wp:inline distT="0" distB="0" distL="0" distR="0" wp14:anchorId="364B7401" wp14:editId="07AE0EDA">
                            <wp:extent cx="2242267" cy="2282233"/>
                            <wp:effectExtent l="0" t="0" r="5715" b="3810"/>
                            <wp:docPr id="20" name="Imagem 20" descr="C:\Users\Convidado\Downloads\Diagrama sem 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vidado\Downloads\Diagrama sem nom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489" cy="2282459"/>
                                    </a:xfrm>
                                    <a:prstGeom prst="rect">
                                      <a:avLst/>
                                    </a:prstGeom>
                                    <a:noFill/>
                                    <a:ln>
                                      <a:noFill/>
                                    </a:ln>
                                  </pic:spPr>
                                </pic:pic>
                              </a:graphicData>
                            </a:graphic>
                          </wp:inline>
                        </w:drawing>
                      </w:r>
                    </w:p>
                    <w:p w14:paraId="0E1427E7" w14:textId="796995D9" w:rsidR="0055406C" w:rsidRPr="001B2E00" w:rsidRDefault="0055406C" w:rsidP="00F546DD">
                      <w:pPr>
                        <w:spacing w:after="240"/>
                        <w:jc w:val="center"/>
                        <w:rPr>
                          <w:rFonts w:cs="Times New Roman"/>
                          <w:lang w:val="pt-BR"/>
                        </w:rPr>
                      </w:pPr>
                      <w:r w:rsidRPr="0029245C">
                        <w:rPr>
                          <w:rFonts w:cs="Times New Roman"/>
                          <w:lang w:val="pt-BR"/>
                        </w:rPr>
                        <w:t>Fonte: Elaboração própria.</w:t>
                      </w:r>
                    </w:p>
                  </w:txbxContent>
                </v:textbox>
                <w10:wrap type="topAndBottom"/>
              </v:shape>
            </w:pict>
          </mc:Fallback>
        </mc:AlternateContent>
      </w:r>
      <w:r w:rsidR="0029245C" w:rsidRPr="0029245C">
        <w:rPr>
          <w:rFonts w:cs="Times New Roman"/>
          <w:lang w:val="pt-BR"/>
        </w:rPr>
        <w:t xml:space="preserve">A </w:t>
      </w:r>
      <w:proofErr w:type="spellStart"/>
      <w:r w:rsidR="0029245C" w:rsidRPr="0029245C">
        <w:rPr>
          <w:rFonts w:cs="Times New Roman"/>
          <w:lang w:val="pt-BR"/>
        </w:rPr>
        <w:t>dessulfatização</w:t>
      </w:r>
      <w:proofErr w:type="spellEnd"/>
      <w:r w:rsidR="0029245C" w:rsidRPr="0029245C">
        <w:rPr>
          <w:rFonts w:cs="Times New Roman"/>
          <w:lang w:val="pt-BR"/>
        </w:rPr>
        <w:t xml:space="preserve"> do biogás é realizad</w:t>
      </w:r>
      <w:r w:rsidR="00175F94">
        <w:rPr>
          <w:rFonts w:cs="Times New Roman"/>
          <w:lang w:val="pt-BR"/>
        </w:rPr>
        <w:t>a</w:t>
      </w:r>
      <w:r w:rsidR="0029245C" w:rsidRPr="0029245C">
        <w:rPr>
          <w:rFonts w:cs="Times New Roman"/>
          <w:lang w:val="pt-BR"/>
        </w:rPr>
        <w:t xml:space="preserve"> no componente indicado com a letra “L”, seguindo para a câmara de combustão (CC) da turbina a gás, com potência mecânica de eixo </w:t>
      </w:r>
      <w:r w:rsidR="0029245C" w:rsidRPr="0029245C">
        <w:rPr>
          <w:rFonts w:cs="Times New Roman"/>
          <w:i/>
          <w:lang w:val="pt-BR"/>
        </w:rPr>
        <w:t>P</w:t>
      </w:r>
      <w:r w:rsidR="0029245C" w:rsidRPr="0029245C">
        <w:rPr>
          <w:rFonts w:cs="Times New Roman"/>
          <w:i/>
          <w:vertAlign w:val="subscript"/>
          <w:lang w:val="pt-BR"/>
        </w:rPr>
        <w:t>TG</w:t>
      </w:r>
      <w:r w:rsidR="0029245C" w:rsidRPr="0029245C">
        <w:rPr>
          <w:rFonts w:cs="Times New Roman"/>
          <w:lang w:val="pt-BR"/>
        </w:rPr>
        <w:t xml:space="preserve"> (kW). O gerador converte esta potência mecânica em uma geração diária </w:t>
      </w:r>
      <w:proofErr w:type="spellStart"/>
      <w:r w:rsidR="0029245C" w:rsidRPr="0029245C">
        <w:rPr>
          <w:rFonts w:cs="Times New Roman"/>
          <w:i/>
          <w:lang w:val="pt-BR"/>
        </w:rPr>
        <w:t>E</w:t>
      </w:r>
      <w:r w:rsidR="0029245C" w:rsidRPr="0029245C">
        <w:rPr>
          <w:rFonts w:cs="Times New Roman"/>
          <w:i/>
          <w:vertAlign w:val="subscript"/>
          <w:lang w:val="pt-BR"/>
        </w:rPr>
        <w:t>el</w:t>
      </w:r>
      <w:proofErr w:type="spellEnd"/>
      <w:r w:rsidR="0029245C" w:rsidRPr="0029245C">
        <w:rPr>
          <w:rFonts w:cs="Times New Roman"/>
          <w:lang w:val="pt-BR"/>
        </w:rPr>
        <w:t xml:space="preserve"> (</w:t>
      </w:r>
      <w:proofErr w:type="spellStart"/>
      <w:r w:rsidR="0029245C" w:rsidRPr="0029245C">
        <w:rPr>
          <w:rFonts w:cs="Times New Roman"/>
          <w:lang w:val="pt-BR"/>
        </w:rPr>
        <w:t>MWh</w:t>
      </w:r>
      <w:proofErr w:type="spellEnd"/>
      <w:r w:rsidR="0029245C" w:rsidRPr="0029245C">
        <w:rPr>
          <w:rFonts w:cs="Times New Roman"/>
          <w:lang w:val="pt-BR"/>
        </w:rPr>
        <w:t xml:space="preserve">). O </w:t>
      </w:r>
      <w:proofErr w:type="spellStart"/>
      <w:r w:rsidR="0029245C" w:rsidRPr="0029245C">
        <w:rPr>
          <w:rFonts w:cs="Times New Roman"/>
          <w:lang w:val="pt-BR"/>
        </w:rPr>
        <w:t>eletrolisador</w:t>
      </w:r>
      <w:proofErr w:type="spellEnd"/>
      <w:r w:rsidR="0029245C" w:rsidRPr="0029245C">
        <w:rPr>
          <w:rFonts w:cs="Times New Roman"/>
          <w:lang w:val="pt-BR"/>
        </w:rPr>
        <w:t xml:space="preserve"> é capaz de produzir diariamente uma quantidade </w:t>
      </w:r>
      <w:r w:rsidR="0029245C" w:rsidRPr="0029245C">
        <w:rPr>
          <w:rFonts w:cs="Times New Roman"/>
          <w:i/>
          <w:lang w:val="pt-BR"/>
        </w:rPr>
        <w:t>m</w:t>
      </w:r>
      <w:r w:rsidR="0029245C" w:rsidRPr="0029245C">
        <w:rPr>
          <w:rFonts w:cs="Times New Roman"/>
          <w:i/>
          <w:vertAlign w:val="subscript"/>
          <w:lang w:val="pt-BR"/>
        </w:rPr>
        <w:t>H2</w:t>
      </w:r>
      <w:r w:rsidR="0029245C" w:rsidRPr="0029245C">
        <w:rPr>
          <w:rFonts w:cs="Times New Roman"/>
          <w:lang w:val="pt-BR"/>
        </w:rPr>
        <w:t xml:space="preserve"> (kg) de hidrogênio, em função do consumo elétrico </w:t>
      </w:r>
      <w:proofErr w:type="spellStart"/>
      <w:r w:rsidR="0029245C" w:rsidRPr="0029245C">
        <w:rPr>
          <w:rFonts w:cs="Times New Roman"/>
          <w:i/>
          <w:lang w:val="pt-BR"/>
        </w:rPr>
        <w:t>E</w:t>
      </w:r>
      <w:r w:rsidR="0029245C" w:rsidRPr="0029245C">
        <w:rPr>
          <w:rFonts w:cs="Times New Roman"/>
          <w:i/>
          <w:vertAlign w:val="subscript"/>
          <w:lang w:val="pt-BR"/>
        </w:rPr>
        <w:t>el</w:t>
      </w:r>
      <w:proofErr w:type="spellEnd"/>
      <w:r w:rsidR="0029245C" w:rsidRPr="0029245C">
        <w:rPr>
          <w:rFonts w:cs="Times New Roman"/>
          <w:lang w:val="pt-BR"/>
        </w:rPr>
        <w:t>.</w:t>
      </w:r>
    </w:p>
    <w:p w14:paraId="41FAA112" w14:textId="77777777" w:rsidR="0029245C" w:rsidRPr="0029245C" w:rsidRDefault="0029245C" w:rsidP="0029245C">
      <w:pPr>
        <w:rPr>
          <w:rFonts w:cs="Times New Roman"/>
          <w:b/>
          <w:color w:val="000000" w:themeColor="text1"/>
          <w:lang w:val="pt-BR"/>
        </w:rPr>
      </w:pPr>
    </w:p>
    <w:p w14:paraId="32BBE799" w14:textId="26EBA20B" w:rsidR="0029245C" w:rsidRPr="0029245C" w:rsidRDefault="0029245C" w:rsidP="0029245C">
      <w:pPr>
        <w:rPr>
          <w:rFonts w:cs="Times New Roman"/>
          <w:color w:val="000000" w:themeColor="text1"/>
          <w:lang w:val="pt-BR"/>
        </w:rPr>
      </w:pPr>
      <w:r w:rsidRPr="0029245C">
        <w:rPr>
          <w:rFonts w:cs="Times New Roman"/>
          <w:color w:val="000000" w:themeColor="text1"/>
          <w:lang w:val="pt-BR"/>
        </w:rPr>
        <w:t xml:space="preserve">Com o potencial diário de produção de biogás (kg/dia), pode-se calcular o potencial total de geração de energia elétrica com este recurso. Considera-se a queima do biogás em Turbinas a Gás (TG), acoplados em geradores elétricos. Com equações adaptadas de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{"citationItems":[{"id":"ITEM-1","itemData":{"DOI":"10.1016/J.ENERGY.2021.122600","ISSN":"0360-5442","abstract":"Plasma gasification technology is one of the environmentally correct techniques that can be applied in the processing of biomedical waste (BW). This work aims to present thermodynamic studies with a simulation of the plasma gasification of BW produced in Brazil. Through thermodynamic analysis is determined the best operating point of the reactor, which corresponds to the temperature where the energy yield of syngas is maximum, and consequently the syngas chemical composition and its lower heating value (LHV). Finally, it is estimated the electrical power required in the BW processing and the potential for electricity generation through the burning of syngas in an internal combustion engine (ICE) and gas turbine set (GTS), and the capacity to supply the necessary energy in the plasma gasifier. As conclusion, the best operating point for the processing of typical Brazilian BW is at a temperature of 1040 K with a maximum gas energy yield of 2.25. For this temperature the syngas consists of 63.65 wt% of carbon monoxide and 5.35 wt% of hydrogen and LHV of 13.47 MJ/kg. Finally, for processing 1 kg/s of BW are required 6292 kW of electrical power, and the maximum electricity production potential is 3132 kW in ICE and 3758 kW in GTS.","author":[{"dropping-particle":"","family":"Paulino","given":"Regina Franciélle Silva","non-dropping-particle":"","parse-names":false,"suffix":""},{"dropping-particle":"","family":"Essiptchouk","given":"Alexei Mikhailovich","non-dropping-particle":"","parse-names":false,"suffix":""},{"dropping-particle":"","family":"Costa","given":"Lucas Pamplona Cardozo","non-dropping-particle":"","parse-names":false,"suffix":""},{"dropping-particle":"","family":"Silveira","given":"José Luz","non-dropping-particle":"","parse-names":false,"suffix":""}],"container-title":"Energy","id":"ITEM-1","issued":{"date-parts":[["2022","4","1"]]},"page":"122600","publisher":"Pergamon","title":"Thermodynamic analysis of biomedical waste plasma gasification","type":"article-journal","volume":"244"},"uris":["http://www.mendeley.com/documents/?uuid=2fe3bab6-f320-3de4-b5fb-435e8d751bc4"]}],"mendeley":{"formattedCitation":"[10]","plainTextFormattedCitation":"[10]","previouslyFormattedCitation":"[10]"},"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[10]</w:t>
      </w:r>
      <w:r w:rsidRPr="00E63A98">
        <w:rPr>
          <w:rFonts w:cs="Times New Roman"/>
          <w:color w:val="000000" w:themeColor="text1"/>
        </w:rPr>
        <w:fldChar w:fldCharType="end"/>
      </w:r>
      <w:r w:rsidRPr="0029245C">
        <w:rPr>
          <w:rFonts w:cs="Times New Roman"/>
          <w:color w:val="000000" w:themeColor="text1"/>
          <w:lang w:val="pt-BR"/>
        </w:rPr>
        <w:t xml:space="preserve">, a energia gerada pode ser calculada com as  equações 4 a 6: </w:t>
      </w:r>
    </w:p>
    <w:p w14:paraId="6DB0A36F" w14:textId="38B44288" w:rsidR="0029245C" w:rsidRPr="00E13DE6" w:rsidRDefault="00B97AC9" w:rsidP="0029245C">
      <w:pPr>
        <w:rPr>
          <w:rFonts w:cs="Times New Roman"/>
          <w:i/>
          <w:color w:val="000000" w:themeColor="text1"/>
          <w:lang w:val="en-US"/>
        </w:rPr>
      </w:pPr>
      <w:r w:rsidRPr="0051388C">
        <w:rPr>
          <w:rFonts w:cs="Times New Roman"/>
          <w:noProof/>
          <w:color w:val="000000" w:themeColor="text1"/>
          <w:lang w:val="pt-BR" w:eastAsia="pt-BR"/>
        </w:rPr>
        <mc:AlternateContent>
          <mc:Choice Requires="wps">
            <w:drawing>
              <wp:anchor distT="0" distB="0" distL="114300" distR="114300" simplePos="0" relativeHeight="251671552" behindDoc="0" locked="0" layoutInCell="1" allowOverlap="1" wp14:anchorId="255C4514" wp14:editId="766940A2">
                <wp:simplePos x="0" y="0"/>
                <wp:positionH relativeFrom="column">
                  <wp:posOffset>1332230</wp:posOffset>
                </wp:positionH>
                <wp:positionV relativeFrom="paragraph">
                  <wp:posOffset>76200</wp:posOffset>
                </wp:positionV>
                <wp:extent cx="2901950" cy="2043430"/>
                <wp:effectExtent l="0" t="0" r="0" b="0"/>
                <wp:wrapTopAndBottom/>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043430"/>
                        </a:xfrm>
                        <a:prstGeom prst="rect">
                          <a:avLst/>
                        </a:prstGeom>
                        <a:solidFill>
                          <a:srgbClr val="FFFFFF"/>
                        </a:solidFill>
                        <a:ln w="9525">
                          <a:noFill/>
                          <a:miter lim="800000"/>
                          <a:headEnd/>
                          <a:tailEnd/>
                        </a:ln>
                      </wps:spPr>
                      <wps:txbx>
                        <w:txbxContent>
                          <w:p w14:paraId="016DA16F" w14:textId="77777777" w:rsidR="0055406C" w:rsidRPr="0029245C" w:rsidRDefault="0055406C" w:rsidP="001B2E00">
                            <w:pPr>
                              <w:jc w:val="center"/>
                              <w:rPr>
                                <w:rFonts w:cs="Times New Roman"/>
                                <w:color w:val="000000" w:themeColor="text1"/>
                                <w:lang w:val="pt-BR"/>
                              </w:rPr>
                            </w:pPr>
                            <w:r w:rsidRPr="0029245C">
                              <w:rPr>
                                <w:rFonts w:cs="Times New Roman"/>
                                <w:color w:val="000000" w:themeColor="text1"/>
                                <w:lang w:val="pt-BR"/>
                              </w:rPr>
                              <w:t xml:space="preserve">Figura 3: </w:t>
                            </w:r>
                            <w:proofErr w:type="spellStart"/>
                            <w:r w:rsidRPr="0029245C">
                              <w:rPr>
                                <w:rFonts w:cs="Times New Roman"/>
                                <w:color w:val="000000" w:themeColor="text1"/>
                                <w:lang w:val="pt-BR"/>
                              </w:rPr>
                              <w:t>Eletrolisador</w:t>
                            </w:r>
                            <w:proofErr w:type="spellEnd"/>
                            <w:r w:rsidRPr="0029245C">
                              <w:rPr>
                                <w:rFonts w:cs="Times New Roman"/>
                                <w:color w:val="000000" w:themeColor="text1"/>
                                <w:lang w:val="pt-BR"/>
                              </w:rPr>
                              <w:t>, com suas entradas e saídas.</w:t>
                            </w:r>
                          </w:p>
                          <w:p w14:paraId="65D6C5AF" w14:textId="77777777" w:rsidR="0055406C" w:rsidRDefault="0055406C" w:rsidP="001B2E00">
                            <w:pPr>
                              <w:jc w:val="center"/>
                              <w:rPr>
                                <w:rFonts w:cs="Times New Roman"/>
                                <w:color w:val="000000" w:themeColor="text1"/>
                              </w:rPr>
                            </w:pPr>
                            <w:r>
                              <w:rPr>
                                <w:rFonts w:cs="Times New Roman"/>
                                <w:noProof/>
                                <w:color w:val="000000" w:themeColor="text1"/>
                                <w:lang w:val="pt-BR" w:eastAsia="pt-BR"/>
                              </w:rPr>
                              <w:drawing>
                                <wp:inline distT="0" distB="0" distL="0" distR="0" wp14:anchorId="4AF2116E" wp14:editId="6ACD53F2">
                                  <wp:extent cx="1813176" cy="1526651"/>
                                  <wp:effectExtent l="0" t="0" r="0" b="0"/>
                                  <wp:docPr id="6" name="Imagem 6" descr="C:\Users\Convidado\Downloads\Diagrama sem no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vidado\Downloads\Diagrama sem nom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2660" cy="1534636"/>
                                          </a:xfrm>
                                          <a:prstGeom prst="rect">
                                            <a:avLst/>
                                          </a:prstGeom>
                                          <a:noFill/>
                                          <a:ln>
                                            <a:noFill/>
                                          </a:ln>
                                        </pic:spPr>
                                      </pic:pic>
                                    </a:graphicData>
                                  </a:graphic>
                                </wp:inline>
                              </w:drawing>
                            </w:r>
                          </w:p>
                          <w:p w14:paraId="7B6ACAC6" w14:textId="77777777" w:rsidR="0055406C" w:rsidRDefault="0055406C" w:rsidP="001B2E00">
                            <w:pPr>
                              <w:jc w:val="center"/>
                              <w:rPr>
                                <w:rFonts w:cs="Times New Roman"/>
                                <w:color w:val="000000" w:themeColor="text1"/>
                                <w:lang w:val="pt-BR"/>
                              </w:rPr>
                            </w:pPr>
                            <w:r w:rsidRPr="0029245C">
                              <w:rPr>
                                <w:rFonts w:cs="Times New Roman"/>
                                <w:color w:val="000000" w:themeColor="text1"/>
                                <w:lang w:val="pt-BR"/>
                              </w:rPr>
                              <w:t>Fonte: elaboração própria.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C4514" id="_x0000_s1028" type="#_x0000_t202" style="position:absolute;left:0;text-align:left;margin-left:104.9pt;margin-top:6pt;width:228.5pt;height:1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MSJgIAACkEAAAOAAAAZHJzL2Uyb0RvYy54bWysU8tu2zAQvBfoPxC815IVu60Fy0Hq1EWB&#10;9AEk/YAVSVlEKa5K0pbSr8+SclwjvRXVgeBql8PdmeH6euwMOyrnNdqKz2c5Z8oKlNruK/7jYffm&#10;PWc+gJVg0KqKPyrPrzevX62HvlQFtmikcoxArC+HvuJtCH2ZZV60qgM/w15ZSjboOggUun0mHQyE&#10;3pmsyPO32YBO9g6F8p7+3k5Jvkn4TaNE+NY0XgVmKk69hbS6tNZxzTZrKPcO+laLUxvwD110oC1d&#10;eoa6hQDs4PRfUJ0WDj02YSawy7BptFBpBppmnr+Y5r6FXqVZiBzfn2ny/w9WfD1+d0zLipNQFjqS&#10;aAt6BCYVe1BjQFZEjobel1R631NxGD/gSFqneX1/h+KnZxa3Ldi9unEOh1aBpB7n8WR2cXTC8RGk&#10;Hr6gpMvgEDABjY3rIoFECSN00urxrA/1wQT9LFb5fLWklKBckS+uFldJwQzK5+O98+GTwo7FTcUd&#10;GSDBw/HOh9gOlM8l8TaPRsudNiYFbl9vjWNHILPs0pcmeFFmLBsqvloWy4RsMZ5PPup0IDMb3RGb&#10;efwme0U6PlqZSgJoM+2pE2NP/ERKJnLCWI9JjjPtNcpHIszh5F16a7Rp0f3mbCDfVtz/OoBTnJnP&#10;lkhfzReLaPQULJbvCgrcZaa+zIAVBFXxwNm03Yb0OCIdFm9InEYn2qKKUyenlsmPic3T24mGv4xT&#10;1Z8XvnkCAAD//wMAUEsDBBQABgAIAAAAIQCXmFqU3gAAAAoBAAAPAAAAZHJzL2Rvd25yZXYueG1s&#10;TI/BTsMwEETvSPyDtUhcEHVIwG3TOBUggbi29AOceJtEjddR7Dbp37Oc4Lgzo9k3xXZ2vbjgGDpP&#10;Gp4WCQik2tuOGg2H74/HFYgQDVnTe0INVwywLW9vCpNbP9EOL/vYCC6hkBsNbYxDLmWoW3QmLPyA&#10;xN7Rj85EPsdG2tFMXO56mSaJks50xB9aM+B7i/Vpf3Yajl/Tw8t6qj7jYbl7Vm+mW1b+qvX93fy6&#10;ARFxjn9h+MVndCiZqfJnskH0GtJkzeiRjZQ3cUApxUKlIcuyFciykP8nlD8AAAD//wMAUEsBAi0A&#10;FAAGAAgAAAAhALaDOJL+AAAA4QEAABMAAAAAAAAAAAAAAAAAAAAAAFtDb250ZW50X1R5cGVzXS54&#10;bWxQSwECLQAUAAYACAAAACEAOP0h/9YAAACUAQAACwAAAAAAAAAAAAAAAAAvAQAAX3JlbHMvLnJl&#10;bHNQSwECLQAUAAYACAAAACEAITXTEiYCAAApBAAADgAAAAAAAAAAAAAAAAAuAgAAZHJzL2Uyb0Rv&#10;Yy54bWxQSwECLQAUAAYACAAAACEAl5halN4AAAAKAQAADwAAAAAAAAAAAAAAAACABAAAZHJzL2Rv&#10;d25yZXYueG1sUEsFBgAAAAAEAAQA8wAAAIsFAAAAAA==&#10;" stroked="f">
                <v:textbox>
                  <w:txbxContent>
                    <w:p w14:paraId="016DA16F" w14:textId="77777777" w:rsidR="0055406C" w:rsidRPr="0029245C" w:rsidRDefault="0055406C" w:rsidP="001B2E00">
                      <w:pPr>
                        <w:jc w:val="center"/>
                        <w:rPr>
                          <w:rFonts w:cs="Times New Roman"/>
                          <w:color w:val="000000" w:themeColor="text1"/>
                          <w:lang w:val="pt-BR"/>
                        </w:rPr>
                      </w:pPr>
                      <w:r w:rsidRPr="0029245C">
                        <w:rPr>
                          <w:rFonts w:cs="Times New Roman"/>
                          <w:color w:val="000000" w:themeColor="text1"/>
                          <w:lang w:val="pt-BR"/>
                        </w:rPr>
                        <w:t>Figura 3: Eletrolisador, com suas entradas e saídas.</w:t>
                      </w:r>
                    </w:p>
                    <w:p w14:paraId="65D6C5AF" w14:textId="77777777" w:rsidR="0055406C" w:rsidRDefault="0055406C" w:rsidP="001B2E00">
                      <w:pPr>
                        <w:jc w:val="center"/>
                        <w:rPr>
                          <w:rFonts w:cs="Times New Roman"/>
                          <w:color w:val="000000" w:themeColor="text1"/>
                        </w:rPr>
                      </w:pPr>
                      <w:r>
                        <w:rPr>
                          <w:rFonts w:cs="Times New Roman"/>
                          <w:noProof/>
                          <w:color w:val="000000" w:themeColor="text1"/>
                          <w:lang w:val="pt-BR" w:eastAsia="pt-BR"/>
                        </w:rPr>
                        <w:drawing>
                          <wp:inline distT="0" distB="0" distL="0" distR="0" wp14:anchorId="4AF2116E" wp14:editId="6ACD53F2">
                            <wp:extent cx="1813176" cy="1526651"/>
                            <wp:effectExtent l="0" t="0" r="0" b="0"/>
                            <wp:docPr id="6" name="Imagem 6" descr="C:\Users\Convidado\Downloads\Diagrama sem no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vidado\Downloads\Diagrama sem nome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660" cy="1534636"/>
                                    </a:xfrm>
                                    <a:prstGeom prst="rect">
                                      <a:avLst/>
                                    </a:prstGeom>
                                    <a:noFill/>
                                    <a:ln>
                                      <a:noFill/>
                                    </a:ln>
                                  </pic:spPr>
                                </pic:pic>
                              </a:graphicData>
                            </a:graphic>
                          </wp:inline>
                        </w:drawing>
                      </w:r>
                    </w:p>
                    <w:p w14:paraId="7B6ACAC6" w14:textId="77777777" w:rsidR="0055406C" w:rsidRDefault="0055406C" w:rsidP="001B2E00">
                      <w:pPr>
                        <w:jc w:val="center"/>
                        <w:rPr>
                          <w:rFonts w:cs="Times New Roman"/>
                          <w:color w:val="000000" w:themeColor="text1"/>
                          <w:lang w:val="pt-BR"/>
                        </w:rPr>
                      </w:pPr>
                      <w:r w:rsidRPr="0029245C">
                        <w:rPr>
                          <w:rFonts w:cs="Times New Roman"/>
                          <w:color w:val="000000" w:themeColor="text1"/>
                          <w:lang w:val="pt-BR"/>
                        </w:rPr>
                        <w:t>Fonte: elaboração própria.</w:t>
                      </w:r>
                    </w:p>
                  </w:txbxContent>
                </v:textbox>
                <w10:wrap type="topAndBottom"/>
              </v:shape>
            </w:pict>
          </mc:Fallback>
        </mc:AlternateContent>
      </w:r>
      <w:r w:rsidR="0029245C" w:rsidRPr="00E13DE6">
        <w:rPr>
          <w:rFonts w:cs="Times New Roman"/>
          <w:i/>
          <w:color w:val="000000" w:themeColor="text1"/>
          <w:lang w:val="en-US"/>
        </w:rPr>
        <w:t>E</w:t>
      </w:r>
      <w:r w:rsidR="0029245C" w:rsidRPr="00E13DE6">
        <w:rPr>
          <w:rFonts w:cs="Times New Roman"/>
          <w:i/>
          <w:color w:val="000000" w:themeColor="text1"/>
          <w:vertAlign w:val="subscript"/>
          <w:lang w:val="en-US"/>
        </w:rPr>
        <w:t>el</w:t>
      </w:r>
      <w:r w:rsidR="0029245C" w:rsidRPr="00E13DE6">
        <w:rPr>
          <w:rFonts w:cs="Times New Roman"/>
          <w:i/>
          <w:color w:val="000000" w:themeColor="text1"/>
          <w:lang w:val="en-US"/>
        </w:rPr>
        <w:t xml:space="preserve"> = </w:t>
      </w:r>
      <w:proofErr w:type="spellStart"/>
      <w:r w:rsidR="0029245C" w:rsidRPr="00E13DE6">
        <w:rPr>
          <w:rFonts w:cs="Times New Roman"/>
          <w:i/>
          <w:color w:val="000000" w:themeColor="text1"/>
          <w:lang w:val="en-US"/>
        </w:rPr>
        <w:t>P</w:t>
      </w:r>
      <w:r w:rsidR="0029245C" w:rsidRPr="00E13DE6">
        <w:rPr>
          <w:rFonts w:cs="Times New Roman"/>
          <w:i/>
          <w:color w:val="000000" w:themeColor="text1"/>
          <w:vertAlign w:val="subscript"/>
          <w:lang w:val="en-US"/>
        </w:rPr>
        <w:t>el</w:t>
      </w:r>
      <w:proofErr w:type="spellEnd"/>
      <w:r w:rsidR="0029245C" w:rsidRPr="00E13DE6">
        <w:rPr>
          <w:rFonts w:cs="Times New Roman"/>
          <w:i/>
          <w:color w:val="000000" w:themeColor="text1"/>
          <w:lang w:val="en-US"/>
        </w:rPr>
        <w:t xml:space="preserve"> * t</w:t>
      </w:r>
      <w:r w:rsidR="0029245C" w:rsidRPr="00E13DE6">
        <w:rPr>
          <w:rFonts w:cs="Times New Roman"/>
          <w:i/>
          <w:color w:val="000000" w:themeColor="text1"/>
          <w:vertAlign w:val="subscript"/>
          <w:lang w:val="en-US"/>
        </w:rPr>
        <w:t>op</w:t>
      </w:r>
      <w:r w:rsidR="0029245C" w:rsidRPr="00E13DE6">
        <w:rPr>
          <w:rFonts w:cs="Times New Roman"/>
          <w:i/>
          <w:color w:val="000000" w:themeColor="text1"/>
          <w:lang w:val="en-US"/>
        </w:rPr>
        <w:t xml:space="preserve">                                     </w:t>
      </w:r>
      <w:r w:rsidR="00D6608E">
        <w:rPr>
          <w:rFonts w:cs="Times New Roman"/>
          <w:i/>
          <w:color w:val="000000" w:themeColor="text1"/>
          <w:lang w:val="en-US"/>
        </w:rPr>
        <w:t xml:space="preserve">               </w:t>
      </w:r>
      <w:r w:rsidR="0029245C" w:rsidRPr="00E13DE6">
        <w:rPr>
          <w:rFonts w:cs="Times New Roman"/>
          <w:i/>
          <w:color w:val="000000" w:themeColor="text1"/>
          <w:lang w:val="en-US"/>
        </w:rPr>
        <w:t xml:space="preserve">    </w:t>
      </w:r>
      <w:r w:rsidR="0029245C">
        <w:rPr>
          <w:rFonts w:cs="Times New Roman"/>
          <w:i/>
          <w:color w:val="000000" w:themeColor="text1"/>
          <w:lang w:val="en-US"/>
        </w:rPr>
        <w:t xml:space="preserve">  </w:t>
      </w:r>
      <w:r w:rsidR="0029245C" w:rsidRPr="00E13DE6">
        <w:rPr>
          <w:rFonts w:cs="Times New Roman"/>
          <w:i/>
          <w:color w:val="000000" w:themeColor="text1"/>
          <w:lang w:val="en-US"/>
        </w:rPr>
        <w:t xml:space="preserve">   </w:t>
      </w:r>
      <w:r w:rsidR="0029245C" w:rsidRPr="00E13DE6">
        <w:rPr>
          <w:rFonts w:cs="Times New Roman"/>
          <w:color w:val="000000" w:themeColor="text1"/>
          <w:lang w:val="en-US"/>
        </w:rPr>
        <w:t>[4]</w:t>
      </w:r>
    </w:p>
    <w:p w14:paraId="2C7AC4C6" w14:textId="62B70EFC" w:rsidR="0029245C" w:rsidRPr="00E13DE6" w:rsidRDefault="0029245C" w:rsidP="0029245C">
      <w:pPr>
        <w:rPr>
          <w:rFonts w:cs="Times New Roman"/>
          <w:color w:val="000000" w:themeColor="text1"/>
          <w:lang w:val="en-US"/>
        </w:rPr>
      </w:pPr>
    </w:p>
    <w:p w14:paraId="7CDBA589" w14:textId="5E7A19AF" w:rsidR="0029245C" w:rsidRPr="00E13DE6" w:rsidRDefault="0029245C" w:rsidP="0029245C">
      <w:pPr>
        <w:rPr>
          <w:rFonts w:cs="Times New Roman"/>
          <w:i/>
          <w:color w:val="000000" w:themeColor="text1"/>
          <w:lang w:val="en-US"/>
        </w:rPr>
      </w:pPr>
      <w:proofErr w:type="spellStart"/>
      <w:r w:rsidRPr="00E13DE6">
        <w:rPr>
          <w:rFonts w:cs="Times New Roman"/>
          <w:i/>
          <w:color w:val="000000" w:themeColor="text1"/>
          <w:lang w:val="en-US"/>
        </w:rPr>
        <w:t>Pel</w:t>
      </w:r>
      <w:proofErr w:type="spellEnd"/>
      <w:r w:rsidRPr="00E13DE6">
        <w:rPr>
          <w:rFonts w:cs="Times New Roman"/>
          <w:i/>
          <w:color w:val="000000" w:themeColor="text1"/>
          <w:lang w:val="en-US"/>
        </w:rPr>
        <w:t xml:space="preserve"> = </w:t>
      </w:r>
      <w:r w:rsidRPr="00E13DE6">
        <w:rPr>
          <w:rFonts w:cs="Times New Roman"/>
          <w:i/>
          <w:color w:val="000000" w:themeColor="text1"/>
        </w:rPr>
        <w:t>η</w:t>
      </w:r>
      <w:proofErr w:type="spellStart"/>
      <w:r w:rsidRPr="00E13DE6">
        <w:rPr>
          <w:rFonts w:cs="Times New Roman"/>
          <w:i/>
          <w:color w:val="000000" w:themeColor="text1"/>
          <w:vertAlign w:val="subscript"/>
          <w:lang w:val="en-US"/>
        </w:rPr>
        <w:t>ge</w:t>
      </w:r>
      <w:proofErr w:type="spellEnd"/>
      <w:r w:rsidRPr="00E13DE6">
        <w:rPr>
          <w:rFonts w:cs="Times New Roman"/>
          <w:i/>
          <w:color w:val="000000" w:themeColor="text1"/>
          <w:lang w:val="en-US"/>
        </w:rPr>
        <w:t xml:space="preserve"> * PTG       </w:t>
      </w:r>
      <w:r>
        <w:rPr>
          <w:rFonts w:cs="Times New Roman"/>
          <w:i/>
          <w:color w:val="000000" w:themeColor="text1"/>
          <w:lang w:val="en-US"/>
        </w:rPr>
        <w:t xml:space="preserve">                                </w:t>
      </w:r>
      <w:r w:rsidR="00D6608E">
        <w:rPr>
          <w:rFonts w:cs="Times New Roman"/>
          <w:i/>
          <w:color w:val="000000" w:themeColor="text1"/>
          <w:lang w:val="en-US"/>
        </w:rPr>
        <w:t xml:space="preserve">                </w:t>
      </w:r>
      <w:r w:rsidRPr="00E13DE6">
        <w:rPr>
          <w:rFonts w:cs="Times New Roman"/>
          <w:i/>
          <w:color w:val="000000" w:themeColor="text1"/>
          <w:lang w:val="en-US"/>
        </w:rPr>
        <w:t xml:space="preserve"> </w:t>
      </w:r>
      <w:r w:rsidRPr="00E13DE6">
        <w:rPr>
          <w:rFonts w:cs="Times New Roman"/>
          <w:color w:val="000000" w:themeColor="text1"/>
          <w:lang w:val="en-US"/>
        </w:rPr>
        <w:t>[</w:t>
      </w:r>
      <w:r>
        <w:rPr>
          <w:rFonts w:cs="Times New Roman"/>
          <w:color w:val="000000" w:themeColor="text1"/>
          <w:lang w:val="en-US"/>
        </w:rPr>
        <w:t>5</w:t>
      </w:r>
      <w:r w:rsidRPr="00E13DE6">
        <w:rPr>
          <w:rFonts w:cs="Times New Roman"/>
          <w:color w:val="000000" w:themeColor="text1"/>
          <w:lang w:val="en-US"/>
        </w:rPr>
        <w:t>]</w:t>
      </w:r>
    </w:p>
    <w:p w14:paraId="116A6F29" w14:textId="0B04688A" w:rsidR="0029245C" w:rsidRPr="00E13DE6" w:rsidRDefault="0029245C" w:rsidP="0029245C">
      <w:pPr>
        <w:rPr>
          <w:rFonts w:cs="Times New Roman"/>
          <w:i/>
          <w:color w:val="000000" w:themeColor="text1"/>
          <w:lang w:val="en-US"/>
        </w:rPr>
      </w:pPr>
    </w:p>
    <w:p w14:paraId="3B372B12" w14:textId="68E6A260" w:rsidR="0029245C" w:rsidRPr="00E13DE6" w:rsidRDefault="0029245C" w:rsidP="0029245C">
      <w:pPr>
        <w:rPr>
          <w:rFonts w:cs="Times New Roman"/>
          <w:color w:val="000000" w:themeColor="text1"/>
          <w:lang w:val="en-US"/>
        </w:rPr>
      </w:pPr>
      <w:r w:rsidRPr="00E13DE6">
        <w:rPr>
          <w:rFonts w:cs="Times New Roman"/>
          <w:i/>
          <w:color w:val="000000" w:themeColor="text1"/>
          <w:lang w:val="en-US"/>
        </w:rPr>
        <w:t>P</w:t>
      </w:r>
      <w:r w:rsidRPr="00E13DE6">
        <w:rPr>
          <w:rFonts w:cs="Times New Roman"/>
          <w:i/>
          <w:color w:val="000000" w:themeColor="text1"/>
          <w:vertAlign w:val="subscript"/>
          <w:lang w:val="en-US"/>
        </w:rPr>
        <w:t>TG</w:t>
      </w:r>
      <w:r w:rsidRPr="00E13DE6">
        <w:rPr>
          <w:rFonts w:cs="Times New Roman"/>
          <w:i/>
          <w:color w:val="000000" w:themeColor="text1"/>
          <w:lang w:val="en-US"/>
        </w:rPr>
        <w:t xml:space="preserve"> </w:t>
      </w:r>
      <w:proofErr w:type="gramStart"/>
      <w:r w:rsidRPr="00E13DE6">
        <w:rPr>
          <w:rFonts w:cs="Times New Roman"/>
          <w:i/>
          <w:color w:val="000000" w:themeColor="text1"/>
          <w:lang w:val="en-US"/>
        </w:rPr>
        <w:t xml:space="preserve">=  </w:t>
      </w:r>
      <w:r w:rsidRPr="00607AC0">
        <w:rPr>
          <w:rFonts w:cs="Times New Roman"/>
          <w:i/>
          <w:color w:val="000000" w:themeColor="text1"/>
        </w:rPr>
        <w:t>η</w:t>
      </w:r>
      <w:r w:rsidRPr="00E13DE6">
        <w:rPr>
          <w:rFonts w:cs="Times New Roman"/>
          <w:i/>
          <w:color w:val="000000" w:themeColor="text1"/>
          <w:vertAlign w:val="subscript"/>
          <w:lang w:val="en-US"/>
        </w:rPr>
        <w:t>T,TG</w:t>
      </w:r>
      <w:proofErr w:type="gramEnd"/>
      <w:r w:rsidRPr="00E13DE6">
        <w:rPr>
          <w:rFonts w:cs="Times New Roman"/>
          <w:i/>
          <w:color w:val="000000" w:themeColor="text1"/>
          <w:vertAlign w:val="subscript"/>
          <w:lang w:val="en-US"/>
        </w:rPr>
        <w:t xml:space="preserve"> </w:t>
      </w:r>
      <w:r w:rsidR="00D6550E" w:rsidRPr="00E13DE6">
        <w:rPr>
          <w:rFonts w:cs="Times New Roman"/>
          <w:i/>
          <w:color w:val="000000" w:themeColor="text1"/>
          <w:lang w:val="en-US"/>
        </w:rPr>
        <w:t>*</w:t>
      </w:r>
      <w:r w:rsidRPr="00E13DE6">
        <w:rPr>
          <w:rFonts w:cs="Times New Roman"/>
          <w:i/>
          <w:color w:val="000000" w:themeColor="text1"/>
          <w:lang w:val="en-US"/>
        </w:rPr>
        <w:t xml:space="preserve"> </w:t>
      </w:r>
      <w:proofErr w:type="spellStart"/>
      <w:r w:rsidRPr="00E13DE6">
        <w:rPr>
          <w:rFonts w:cs="Times New Roman"/>
          <w:i/>
          <w:color w:val="000000" w:themeColor="text1"/>
          <w:lang w:val="en-US"/>
        </w:rPr>
        <w:t>m’</w:t>
      </w:r>
      <w:r w:rsidRPr="00E13DE6">
        <w:rPr>
          <w:rFonts w:cs="Times New Roman"/>
          <w:i/>
          <w:color w:val="000000" w:themeColor="text1"/>
          <w:vertAlign w:val="subscript"/>
          <w:lang w:val="en-US"/>
        </w:rPr>
        <w:t>Bio</w:t>
      </w:r>
      <w:proofErr w:type="spellEnd"/>
      <w:r w:rsidRPr="00E13DE6">
        <w:rPr>
          <w:rFonts w:cs="Times New Roman"/>
          <w:i/>
          <w:color w:val="000000" w:themeColor="text1"/>
          <w:lang w:val="en-US"/>
        </w:rPr>
        <w:t xml:space="preserve"> * </w:t>
      </w:r>
      <w:proofErr w:type="spellStart"/>
      <w:r w:rsidRPr="00E13DE6">
        <w:rPr>
          <w:rFonts w:cs="Times New Roman"/>
          <w:i/>
          <w:color w:val="000000" w:themeColor="text1"/>
          <w:lang w:val="en-US"/>
        </w:rPr>
        <w:t>PCI</w:t>
      </w:r>
      <w:r w:rsidRPr="00E13DE6">
        <w:rPr>
          <w:rFonts w:cs="Times New Roman"/>
          <w:i/>
          <w:color w:val="000000" w:themeColor="text1"/>
          <w:vertAlign w:val="subscript"/>
          <w:lang w:val="en-US"/>
        </w:rPr>
        <w:t>Bio</w:t>
      </w:r>
      <w:proofErr w:type="spellEnd"/>
      <w:r w:rsidRPr="00E13DE6">
        <w:rPr>
          <w:rFonts w:cs="Times New Roman"/>
          <w:i/>
          <w:color w:val="000000" w:themeColor="text1"/>
          <w:lang w:val="en-US"/>
        </w:rPr>
        <w:t xml:space="preserve">                   </w:t>
      </w:r>
      <w:r w:rsidR="00D6608E">
        <w:rPr>
          <w:rFonts w:cs="Times New Roman"/>
          <w:i/>
          <w:color w:val="000000" w:themeColor="text1"/>
          <w:lang w:val="en-US"/>
        </w:rPr>
        <w:t xml:space="preserve">               </w:t>
      </w:r>
      <w:r w:rsidRPr="00E13DE6">
        <w:rPr>
          <w:rFonts w:cs="Times New Roman"/>
          <w:i/>
          <w:color w:val="000000" w:themeColor="text1"/>
          <w:lang w:val="en-US"/>
        </w:rPr>
        <w:t xml:space="preserve">   </w:t>
      </w:r>
      <w:r w:rsidRPr="00E13DE6">
        <w:rPr>
          <w:rFonts w:cs="Times New Roman"/>
          <w:color w:val="000000" w:themeColor="text1"/>
          <w:lang w:val="en-US"/>
        </w:rPr>
        <w:t>[6]</w:t>
      </w:r>
    </w:p>
    <w:p w14:paraId="4E7C2DB3" w14:textId="6D74DD4B" w:rsidR="0029245C" w:rsidRPr="00E13DE6" w:rsidRDefault="0029245C" w:rsidP="0029245C">
      <w:pPr>
        <w:rPr>
          <w:rFonts w:cs="Times New Roman"/>
          <w:color w:val="000000" w:themeColor="text1"/>
          <w:lang w:val="en-US"/>
        </w:rPr>
      </w:pPr>
    </w:p>
    <w:p w14:paraId="5623697D" w14:textId="77777777" w:rsidR="00E20CDC" w:rsidRPr="00B97AC9" w:rsidRDefault="00E20CDC" w:rsidP="0029245C">
      <w:pPr>
        <w:rPr>
          <w:rFonts w:cs="Times New Roman"/>
          <w:color w:val="000000" w:themeColor="text1"/>
          <w:lang w:val="en-US"/>
        </w:rPr>
      </w:pPr>
    </w:p>
    <w:p w14:paraId="0CF215E8" w14:textId="6AE5F675" w:rsidR="0029245C" w:rsidRDefault="0029245C" w:rsidP="0029245C">
      <w:pPr>
        <w:rPr>
          <w:rFonts w:eastAsiaTheme="minorEastAsia" w:cs="Times New Roman"/>
          <w:color w:val="000000" w:themeColor="text1"/>
          <w:lang w:val="pt-BR"/>
        </w:rPr>
      </w:pPr>
      <w:proofErr w:type="gramStart"/>
      <w:r w:rsidRPr="0029245C">
        <w:rPr>
          <w:rFonts w:cs="Times New Roman"/>
          <w:color w:val="000000" w:themeColor="text1"/>
          <w:lang w:val="pt-BR"/>
        </w:rPr>
        <w:t xml:space="preserve">Sendo </w:t>
      </w:r>
      <m:oMath>
        <m:sSub>
          <m:sSubPr>
            <m:ctrlPr>
              <w:rPr>
                <w:rFonts w:ascii="Cambria Math" w:hAnsi="Cambria Math" w:cs="Times New Roman"/>
                <w:i/>
                <w:color w:val="000000" w:themeColor="text1"/>
              </w:rPr>
            </m:ctrlPr>
          </m:sSubPr>
          <m:e>
            <m:r>
              <w:rPr>
                <w:rFonts w:ascii="Cambria Math" w:hAnsi="Cambria Math" w:cs="Times New Roman"/>
                <w:color w:val="000000" w:themeColor="text1"/>
                <w:lang w:val="pt-BR"/>
              </w:rPr>
              <m:t xml:space="preserve"> </m:t>
            </m:r>
            <m:r>
              <w:rPr>
                <w:rFonts w:ascii="Cambria Math" w:hAnsi="Cambria Math" w:cs="Times New Roman"/>
                <w:color w:val="000000" w:themeColor="text1"/>
              </w:rPr>
              <m:t>P</m:t>
            </m:r>
          </m:e>
          <m:sub>
            <m:r>
              <w:rPr>
                <w:rFonts w:ascii="Cambria Math" w:hAnsi="Cambria Math" w:cs="Times New Roman"/>
                <w:color w:val="000000" w:themeColor="text1"/>
              </w:rPr>
              <m:t>TG</m:t>
            </m:r>
          </m:sub>
        </m:sSub>
      </m:oMath>
      <w:r w:rsidRPr="0029245C">
        <w:rPr>
          <w:rFonts w:cs="Times New Roman"/>
          <w:color w:val="000000" w:themeColor="text1"/>
          <w:lang w:val="pt-BR"/>
        </w:rPr>
        <w:t xml:space="preserve"> a</w:t>
      </w:r>
      <w:proofErr w:type="gramEnd"/>
      <w:r w:rsidRPr="0029245C">
        <w:rPr>
          <w:rFonts w:cs="Times New Roman"/>
          <w:color w:val="000000" w:themeColor="text1"/>
          <w:lang w:val="pt-BR"/>
        </w:rPr>
        <w:t xml:space="preserve"> potência mecânica de eixo da TG [kW],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PCI</m:t>
            </m:r>
          </m:e>
          <m:sub>
            <m:r>
              <w:rPr>
                <w:rFonts w:ascii="Cambria Math" w:hAnsi="Cambria Math" w:cs="Times New Roman"/>
                <w:color w:val="000000" w:themeColor="text1"/>
              </w:rPr>
              <m:t>Bio</m:t>
            </m:r>
          </m:sub>
        </m:sSub>
      </m:oMath>
      <w:r w:rsidRPr="0029245C">
        <w:rPr>
          <w:rFonts w:cs="Times New Roman"/>
          <w:color w:val="000000" w:themeColor="text1"/>
          <w:lang w:val="pt-BR"/>
        </w:rPr>
        <w:t xml:space="preserve">o Poder calorífico Inferior do biogás [kJ/kg],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m</m:t>
            </m:r>
            <m:r>
              <w:rPr>
                <w:rFonts w:ascii="Cambria Math" w:hAnsi="Cambria Math" w:cs="Times New Roman"/>
                <w:color w:val="000000" w:themeColor="text1"/>
                <w:lang w:val="pt-BR"/>
              </w:rPr>
              <m:t>'</m:t>
            </m:r>
          </m:e>
          <m:sub>
            <m:r>
              <w:rPr>
                <w:rFonts w:ascii="Cambria Math" w:hAnsi="Cambria Math" w:cs="Times New Roman"/>
                <w:color w:val="000000" w:themeColor="text1"/>
              </w:rPr>
              <m:t>Bio</m:t>
            </m:r>
          </m:sub>
        </m:sSub>
      </m:oMath>
      <w:r w:rsidRPr="0029245C">
        <w:rPr>
          <w:rFonts w:cs="Times New Roman"/>
          <w:color w:val="000000" w:themeColor="text1"/>
          <w:lang w:val="pt-BR"/>
        </w:rPr>
        <w:t xml:space="preserve"> o fluxo mássico do biogás [kg/s],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el</m:t>
            </m:r>
            <m:r>
              <w:rPr>
                <w:rFonts w:ascii="Cambria Math" w:hAnsi="Cambria Math" w:cs="Times New Roman"/>
                <w:color w:val="000000" w:themeColor="text1"/>
                <w:lang w:val="pt-BR"/>
              </w:rPr>
              <m:t>.</m:t>
            </m:r>
            <m:r>
              <w:rPr>
                <w:rFonts w:ascii="Cambria Math" w:hAnsi="Cambria Math" w:cs="Times New Roman"/>
                <w:color w:val="000000" w:themeColor="text1"/>
              </w:rPr>
              <m:t>TG</m:t>
            </m:r>
          </m:sub>
        </m:sSub>
      </m:oMath>
      <w:r w:rsidRPr="0029245C">
        <w:rPr>
          <w:rFonts w:cs="Times New Roman"/>
          <w:color w:val="000000" w:themeColor="text1"/>
          <w:lang w:val="pt-BR"/>
        </w:rPr>
        <w:t xml:space="preserve"> o rendimento térmico da TG [%] 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ge</m:t>
            </m:r>
          </m:sub>
        </m:sSub>
      </m:oMath>
      <w:r w:rsidRPr="0029245C">
        <w:rPr>
          <w:rFonts w:eastAsiaTheme="minorEastAsia" w:cs="Times New Roman"/>
          <w:color w:val="000000" w:themeColor="text1"/>
          <w:lang w:val="pt-BR"/>
        </w:rPr>
        <w:t xml:space="preserve"> eficiência de conversão em potência elétrica do gerador de energia [%].</w:t>
      </w:r>
    </w:p>
    <w:p w14:paraId="30A48144" w14:textId="77777777" w:rsidR="0029245C" w:rsidRPr="0029245C" w:rsidRDefault="0029245C" w:rsidP="0029245C">
      <w:pPr>
        <w:rPr>
          <w:rFonts w:eastAsiaTheme="minorEastAsia" w:cs="Times New Roman"/>
          <w:color w:val="000000" w:themeColor="text1"/>
          <w:lang w:val="pt-BR"/>
        </w:rPr>
      </w:pPr>
    </w:p>
    <w:p w14:paraId="3E3F0BA5" w14:textId="77777777" w:rsidR="0029245C" w:rsidRDefault="0029245C" w:rsidP="0029245C">
      <w:pPr>
        <w:pStyle w:val="Ttulo1"/>
        <w:keepNext/>
        <w:keepLines/>
        <w:numPr>
          <w:ilvl w:val="2"/>
          <w:numId w:val="26"/>
        </w:numPr>
        <w:spacing w:line="259" w:lineRule="auto"/>
        <w:ind w:left="0" w:firstLine="0"/>
        <w:contextualSpacing w:val="0"/>
        <w:jc w:val="left"/>
        <w:rPr>
          <w:color w:val="000000" w:themeColor="text1"/>
        </w:rPr>
      </w:pPr>
      <w:proofErr w:type="spellStart"/>
      <w:r w:rsidRPr="002C085F">
        <w:rPr>
          <w:color w:val="000000" w:themeColor="text1"/>
        </w:rPr>
        <w:t>Produção</w:t>
      </w:r>
      <w:proofErr w:type="spellEnd"/>
      <w:r w:rsidRPr="002C085F">
        <w:rPr>
          <w:color w:val="000000" w:themeColor="text1"/>
        </w:rPr>
        <w:t xml:space="preserve"> de </w:t>
      </w:r>
      <w:proofErr w:type="spellStart"/>
      <w:r w:rsidRPr="002C085F">
        <w:rPr>
          <w:color w:val="000000" w:themeColor="text1"/>
        </w:rPr>
        <w:t>biohidrogênio</w:t>
      </w:r>
      <w:proofErr w:type="spellEnd"/>
      <w:r w:rsidRPr="00E63A98">
        <w:rPr>
          <w:color w:val="000000" w:themeColor="text1"/>
        </w:rPr>
        <w:t xml:space="preserve"> </w:t>
      </w:r>
    </w:p>
    <w:p w14:paraId="13AE92C9" w14:textId="43CD3075" w:rsidR="0029245C" w:rsidRPr="002C085F" w:rsidRDefault="0029245C" w:rsidP="0029245C"/>
    <w:p w14:paraId="6A70FE1C" w14:textId="0BD17561" w:rsidR="00B97AC9" w:rsidRDefault="0029245C" w:rsidP="0029245C">
      <w:pPr>
        <w:rPr>
          <w:rFonts w:cs="Times New Roman"/>
          <w:color w:val="000000" w:themeColor="text1"/>
          <w:lang w:val="pt-BR"/>
        </w:rPr>
      </w:pPr>
      <w:r w:rsidRPr="0029245C">
        <w:rPr>
          <w:rFonts w:cs="Times New Roman"/>
          <w:color w:val="000000" w:themeColor="text1"/>
          <w:lang w:val="pt-BR"/>
        </w:rPr>
        <w:t>O processo de eletrólise da água consiste na aplicação de um potencial elétrico em água, com a quebra de sua molécula e consequente liberação de gases O</w:t>
      </w:r>
      <w:r w:rsidRPr="0029245C">
        <w:rPr>
          <w:rFonts w:cs="Times New Roman"/>
          <w:color w:val="000000" w:themeColor="text1"/>
          <w:vertAlign w:val="subscript"/>
          <w:lang w:val="pt-BR"/>
        </w:rPr>
        <w:t>2</w:t>
      </w:r>
      <w:r w:rsidRPr="0029245C">
        <w:rPr>
          <w:rFonts w:cs="Times New Roman"/>
          <w:color w:val="000000" w:themeColor="text1"/>
          <w:lang w:val="pt-BR"/>
        </w:rPr>
        <w:t xml:space="preserve"> e H</w:t>
      </w:r>
      <w:r w:rsidRPr="0029245C">
        <w:rPr>
          <w:rFonts w:cs="Times New Roman"/>
          <w:color w:val="000000" w:themeColor="text1"/>
          <w:vertAlign w:val="subscript"/>
          <w:lang w:val="pt-BR"/>
        </w:rPr>
        <w:t>2</w:t>
      </w:r>
      <w:r w:rsidRPr="0029245C">
        <w:rPr>
          <w:rFonts w:cs="Times New Roman"/>
          <w:color w:val="000000" w:themeColor="text1"/>
          <w:lang w:val="pt-BR"/>
        </w:rPr>
        <w:t xml:space="preserve">. </w:t>
      </w:r>
    </w:p>
    <w:p w14:paraId="3EE16FE7" w14:textId="698EBDB8" w:rsidR="00B97AC9" w:rsidRDefault="0029245C" w:rsidP="00B97AC9">
      <w:pPr>
        <w:spacing w:before="240"/>
        <w:rPr>
          <w:rFonts w:cs="Times New Roman"/>
          <w:color w:val="000000" w:themeColor="text1"/>
          <w:lang w:val="pt-BR"/>
        </w:rPr>
      </w:pPr>
      <w:r w:rsidRPr="0029245C">
        <w:rPr>
          <w:rFonts w:cs="Times New Roman"/>
          <w:color w:val="000000" w:themeColor="text1"/>
          <w:lang w:val="pt-BR"/>
        </w:rPr>
        <w:t xml:space="preserve">De forma simplificada a Figura 3 mostra o diagrama de um </w:t>
      </w:r>
      <w:proofErr w:type="spellStart"/>
      <w:r w:rsidRPr="0029245C">
        <w:rPr>
          <w:rFonts w:cs="Times New Roman"/>
          <w:color w:val="000000" w:themeColor="text1"/>
          <w:lang w:val="pt-BR"/>
        </w:rPr>
        <w:t>eletrolisador</w:t>
      </w:r>
      <w:proofErr w:type="spellEnd"/>
      <w:r w:rsidRPr="0029245C">
        <w:rPr>
          <w:rFonts w:cs="Times New Roman"/>
          <w:color w:val="000000" w:themeColor="text1"/>
          <w:lang w:val="pt-BR"/>
        </w:rPr>
        <w:t xml:space="preserve">, equipamento utilizado para produção de hidrogênio com esta técnica, indicando as entradas e saídas. </w:t>
      </w:r>
    </w:p>
    <w:p w14:paraId="110CBDBA" w14:textId="34B94BBC" w:rsidR="0029245C" w:rsidRPr="0029245C" w:rsidRDefault="001B2E00" w:rsidP="00B97AC9">
      <w:pPr>
        <w:tabs>
          <w:tab w:val="left" w:pos="426"/>
        </w:tabs>
        <w:spacing w:before="240"/>
        <w:rPr>
          <w:rFonts w:cs="Times New Roman"/>
          <w:color w:val="000000" w:themeColor="text1"/>
          <w:lang w:val="pt-BR"/>
        </w:rPr>
      </w:pPr>
      <w:r>
        <w:rPr>
          <w:rFonts w:cs="Times New Roman"/>
          <w:color w:val="000000" w:themeColor="text1"/>
          <w:lang w:val="pt-BR"/>
        </w:rPr>
        <w:t xml:space="preserve">A Figura 3 mostra o processo de eletrólise, em que a </w:t>
      </w:r>
      <w:r w:rsidR="0029245C" w:rsidRPr="0029245C">
        <w:rPr>
          <w:rFonts w:cs="Times New Roman"/>
          <w:color w:val="000000" w:themeColor="text1"/>
          <w:lang w:val="pt-BR"/>
        </w:rPr>
        <w:t xml:space="preserve">energia elétrica </w:t>
      </w:r>
      <w:proofErr w:type="spellStart"/>
      <w:r w:rsidR="0029245C" w:rsidRPr="0029245C">
        <w:rPr>
          <w:rFonts w:cs="Times New Roman"/>
          <w:color w:val="000000" w:themeColor="text1"/>
          <w:lang w:val="pt-BR"/>
        </w:rPr>
        <w:t>Eel</w:t>
      </w:r>
      <w:proofErr w:type="spellEnd"/>
      <w:r w:rsidR="0029245C" w:rsidRPr="0029245C">
        <w:rPr>
          <w:rFonts w:cs="Times New Roman"/>
          <w:color w:val="000000" w:themeColor="text1"/>
          <w:lang w:val="pt-BR"/>
        </w:rPr>
        <w:t xml:space="preserve"> (</w:t>
      </w:r>
      <w:proofErr w:type="spellStart"/>
      <w:r w:rsidR="0029245C" w:rsidRPr="0029245C">
        <w:rPr>
          <w:rFonts w:cs="Times New Roman"/>
          <w:color w:val="000000" w:themeColor="text1"/>
          <w:lang w:val="pt-BR"/>
        </w:rPr>
        <w:t>MWh</w:t>
      </w:r>
      <w:proofErr w:type="spellEnd"/>
      <w:r w:rsidR="0029245C" w:rsidRPr="0029245C">
        <w:rPr>
          <w:rFonts w:cs="Times New Roman"/>
          <w:color w:val="000000" w:themeColor="text1"/>
          <w:lang w:val="pt-BR"/>
        </w:rPr>
        <w:t xml:space="preserve">) é consumida pelo </w:t>
      </w:r>
      <w:proofErr w:type="spellStart"/>
      <w:r w:rsidR="0029245C" w:rsidRPr="0029245C">
        <w:rPr>
          <w:rFonts w:cs="Times New Roman"/>
          <w:color w:val="000000" w:themeColor="text1"/>
          <w:lang w:val="pt-BR"/>
        </w:rPr>
        <w:t>eletrolisador</w:t>
      </w:r>
      <w:proofErr w:type="spellEnd"/>
      <w:r w:rsidR="0029245C" w:rsidRPr="0029245C">
        <w:rPr>
          <w:rFonts w:cs="Times New Roman"/>
          <w:color w:val="000000" w:themeColor="text1"/>
          <w:lang w:val="pt-BR"/>
        </w:rPr>
        <w:t>, originando quantidades de hidrogênio (m</w:t>
      </w:r>
      <w:r w:rsidR="0029245C" w:rsidRPr="0029245C">
        <w:rPr>
          <w:rFonts w:cs="Times New Roman"/>
          <w:color w:val="000000" w:themeColor="text1"/>
          <w:vertAlign w:val="subscript"/>
          <w:lang w:val="pt-BR"/>
        </w:rPr>
        <w:t>H2</w:t>
      </w:r>
      <w:r w:rsidR="0029245C" w:rsidRPr="0029245C">
        <w:rPr>
          <w:rFonts w:cs="Times New Roman"/>
          <w:color w:val="000000" w:themeColor="text1"/>
          <w:lang w:val="pt-BR"/>
        </w:rPr>
        <w:t>) e de oxigênio (m</w:t>
      </w:r>
      <w:r w:rsidR="0029245C" w:rsidRPr="0029245C">
        <w:rPr>
          <w:rFonts w:cs="Times New Roman"/>
          <w:color w:val="000000" w:themeColor="text1"/>
          <w:vertAlign w:val="subscript"/>
          <w:lang w:val="pt-BR"/>
        </w:rPr>
        <w:t>O2</w:t>
      </w:r>
      <w:r w:rsidR="0029245C" w:rsidRPr="0029245C">
        <w:rPr>
          <w:rFonts w:cs="Times New Roman"/>
          <w:color w:val="000000" w:themeColor="text1"/>
          <w:lang w:val="pt-BR"/>
        </w:rPr>
        <w:t>) a partir de uma massa de entrada de água (m</w:t>
      </w:r>
      <w:r w:rsidR="0029245C" w:rsidRPr="0029245C">
        <w:rPr>
          <w:rFonts w:cs="Times New Roman"/>
          <w:color w:val="000000" w:themeColor="text1"/>
          <w:vertAlign w:val="subscript"/>
          <w:lang w:val="pt-BR"/>
        </w:rPr>
        <w:t>H2O</w:t>
      </w:r>
      <w:r w:rsidR="0029245C" w:rsidRPr="0029245C">
        <w:rPr>
          <w:rFonts w:cs="Times New Roman"/>
          <w:color w:val="000000" w:themeColor="text1"/>
          <w:lang w:val="pt-BR"/>
        </w:rPr>
        <w:t xml:space="preserve">). A reação de eletrólise pode ser </w:t>
      </w:r>
      <w:r w:rsidR="0029245C" w:rsidRPr="0029245C">
        <w:rPr>
          <w:rFonts w:cs="Times New Roman"/>
          <w:color w:val="000000" w:themeColor="text1"/>
          <w:lang w:val="pt-BR"/>
        </w:rPr>
        <w:lastRenderedPageBreak/>
        <w:t>descrita coma uma equação estequiométrica, conforme Equação [7]:</w:t>
      </w:r>
    </w:p>
    <w:p w14:paraId="30D73993" w14:textId="486B1E81" w:rsidR="0029245C" w:rsidRPr="0029245C" w:rsidRDefault="0029245C" w:rsidP="0029245C">
      <w:pPr>
        <w:rPr>
          <w:rFonts w:cs="Times New Roman"/>
          <w:color w:val="000000" w:themeColor="text1"/>
          <w:lang w:val="pt-BR"/>
        </w:rPr>
      </w:pPr>
    </w:p>
    <w:p w14:paraId="4BC88E4C" w14:textId="229D3B00" w:rsidR="0029245C" w:rsidRPr="0029245C" w:rsidRDefault="0029245C" w:rsidP="0029245C">
      <w:pPr>
        <w:rPr>
          <w:rFonts w:cs="Times New Roman"/>
          <w:color w:val="000000" w:themeColor="text1"/>
          <w:lang w:val="pt-BR"/>
        </w:rPr>
      </w:pPr>
      <w:r w:rsidRPr="0029245C">
        <w:rPr>
          <w:rFonts w:cs="Times New Roman"/>
          <w:i/>
          <w:color w:val="000000" w:themeColor="text1"/>
          <w:lang w:val="pt-BR"/>
        </w:rPr>
        <w:t>H</w:t>
      </w:r>
      <w:r w:rsidRPr="0029245C">
        <w:rPr>
          <w:rFonts w:cs="Times New Roman"/>
          <w:i/>
          <w:color w:val="000000" w:themeColor="text1"/>
          <w:vertAlign w:val="subscript"/>
          <w:lang w:val="pt-BR"/>
        </w:rPr>
        <w:t>2</w:t>
      </w:r>
      <w:r w:rsidRPr="0029245C">
        <w:rPr>
          <w:rFonts w:cs="Times New Roman"/>
          <w:i/>
          <w:color w:val="000000" w:themeColor="text1"/>
          <w:lang w:val="pt-BR"/>
        </w:rPr>
        <w:t>O → H</w:t>
      </w:r>
      <w:r w:rsidRPr="0029245C">
        <w:rPr>
          <w:rFonts w:cs="Times New Roman"/>
          <w:i/>
          <w:color w:val="000000" w:themeColor="text1"/>
          <w:vertAlign w:val="subscript"/>
          <w:lang w:val="pt-BR"/>
        </w:rPr>
        <w:t>2</w:t>
      </w:r>
      <w:r w:rsidRPr="0029245C">
        <w:rPr>
          <w:rFonts w:cs="Times New Roman"/>
          <w:i/>
          <w:color w:val="000000" w:themeColor="text1"/>
          <w:lang w:val="pt-BR"/>
        </w:rPr>
        <w:t xml:space="preserve"> + ½ O</w:t>
      </w:r>
      <w:r w:rsidRPr="0029245C">
        <w:rPr>
          <w:rFonts w:cs="Times New Roman"/>
          <w:i/>
          <w:color w:val="000000" w:themeColor="text1"/>
          <w:vertAlign w:val="subscript"/>
          <w:lang w:val="pt-BR"/>
        </w:rPr>
        <w:t>2</w:t>
      </w:r>
      <w:r w:rsidRPr="0029245C">
        <w:rPr>
          <w:rFonts w:cs="Times New Roman"/>
          <w:color w:val="000000" w:themeColor="text1"/>
          <w:lang w:val="pt-BR"/>
        </w:rPr>
        <w:t xml:space="preserve">                                  </w:t>
      </w:r>
      <w:r w:rsidR="00D6608E">
        <w:rPr>
          <w:rFonts w:cs="Times New Roman"/>
          <w:color w:val="000000" w:themeColor="text1"/>
          <w:lang w:val="pt-BR"/>
        </w:rPr>
        <w:t xml:space="preserve">               </w:t>
      </w:r>
      <w:proofErr w:type="gramStart"/>
      <w:r w:rsidRPr="0029245C">
        <w:rPr>
          <w:rFonts w:cs="Times New Roman"/>
          <w:color w:val="000000" w:themeColor="text1"/>
          <w:lang w:val="pt-BR"/>
        </w:rPr>
        <w:t xml:space="preserve">   [</w:t>
      </w:r>
      <w:proofErr w:type="gramEnd"/>
      <w:r w:rsidRPr="0029245C">
        <w:rPr>
          <w:rFonts w:cs="Times New Roman"/>
          <w:color w:val="000000" w:themeColor="text1"/>
          <w:lang w:val="pt-BR"/>
        </w:rPr>
        <w:t>7]</w:t>
      </w:r>
    </w:p>
    <w:p w14:paraId="6807E7E7" w14:textId="77777777" w:rsidR="0029245C" w:rsidRPr="0029245C" w:rsidRDefault="0029245C" w:rsidP="0029245C">
      <w:pPr>
        <w:rPr>
          <w:rFonts w:cs="Times New Roman"/>
          <w:color w:val="000000" w:themeColor="text1"/>
          <w:lang w:val="pt-BR"/>
        </w:rPr>
      </w:pPr>
    </w:p>
    <w:p w14:paraId="12587125" w14:textId="49FA994E" w:rsidR="0029245C" w:rsidRDefault="0029245C" w:rsidP="0029245C">
      <w:pPr>
        <w:rPr>
          <w:rFonts w:cs="Times New Roman"/>
          <w:color w:val="000000" w:themeColor="text1"/>
          <w:lang w:val="pt-BR"/>
        </w:rPr>
      </w:pPr>
      <w:r w:rsidRPr="0029245C">
        <w:rPr>
          <w:rFonts w:cs="Times New Roman"/>
          <w:color w:val="000000" w:themeColor="text1"/>
          <w:lang w:val="pt-BR"/>
        </w:rPr>
        <w:t xml:space="preserve">Sabendo-se o potencial de geração elétrica diária com o biogás produzido, assume-se que este total pode ser aproveitado em um processo de eletrólise da água, para a produção de hidrogênio. Considerando um </w:t>
      </w:r>
      <w:proofErr w:type="spellStart"/>
      <w:r w:rsidRPr="0029245C">
        <w:rPr>
          <w:rFonts w:cs="Times New Roman"/>
          <w:color w:val="000000" w:themeColor="text1"/>
          <w:lang w:val="pt-BR"/>
        </w:rPr>
        <w:t>eletrolisador</w:t>
      </w:r>
      <w:proofErr w:type="spellEnd"/>
      <w:r w:rsidRPr="0029245C">
        <w:rPr>
          <w:rFonts w:cs="Times New Roman"/>
          <w:color w:val="000000" w:themeColor="text1"/>
          <w:lang w:val="pt-BR"/>
        </w:rPr>
        <w:t xml:space="preserve"> com eficiência de 57%, pode-se calcular o potencial de hidrogênio com a equação 8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{"citationItems":[{"id":"ITEM-1","itemData":{"DOI":"10.1016/j.jpowsour.2012.08.047","ISSN":"03787753","abstract":"Small-scale solar PV-water electrolyzer systems are suggested for remote combined heat and power (CHP) applications. A residential solar PV-electrolyzer system is developed and coupled with a high temperature solid oxide fuel cell (SOFC) system (PV-FC) for supplying the electricity demand. It is possible for the PV system to generate electricity in excess of the demand during off-peak hours. The surplus electricity is used by the water electrolyzer for hydrogen production. The hydrogen produced is stored in a storage tank. The fuel cell is fed with the hydrogen generated by the electrolyzer. The PV-FC system is coupled with a heat recovery unit, which provides the residential area with thermal energy, to improve energy utilization. The heat recovery unit consists of a heat recovery steam generator and an absorption chiller utilizing the thermal energy of the SOFC flue gas for heating and cooling purposes. Determining system operational parameters is important for the design and implementation of the CHP system in a residential area. Therefore, the residential CHP system is assessed here based on energy and exergy. The hourly demand of the residential area is taken into consideration for component selection and sizing, and energy and exergy efficiencies of the developed system are presented. © 2012 Elsevier B.V. All rights reserved.","author":[{"dropping-particle":"","family":"Hosseini","given":"Mehdi","non-dropping-particle":"","parse-names":false,"suffix":""},{"dropping-particle":"","family":"Dincer","given":"Ibrahim","non-dropping-particle":"","parse-names":false,"suffix":""},{"dropping-particle":"","family":"Rosen","given":"Marc A.","non-dropping-particle":"","parse-names":false,"suffix":""}],"container-title":"Journal of Power Sources","id":"ITEM-1","issued":{"date-parts":[["2013"]]},"page":"372-380","title":"Hybrid solar-fuel cell combined heat and power systems for residential applications: Energy and exergy analyses","type":"article-journal","volume":"221"},"uris":["http://www.mendeley.com/documents/?uuid=9cd6c0ef-bc20-44a7-9ced-97c70318cb33"]}],"mendeley":{"formattedCitation":"[11]","plainTextFormattedCitation":"[11]","previouslyFormattedCitation":"[11]"},"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[11]</w:t>
      </w:r>
      <w:r w:rsidRPr="00E63A98">
        <w:rPr>
          <w:rFonts w:cs="Times New Roman"/>
          <w:color w:val="000000" w:themeColor="text1"/>
        </w:rPr>
        <w:fldChar w:fldCharType="end"/>
      </w:r>
      <w:r w:rsidRPr="0029245C">
        <w:rPr>
          <w:rFonts w:cs="Times New Roman"/>
          <w:color w:val="000000" w:themeColor="text1"/>
          <w:lang w:val="pt-BR"/>
        </w:rPr>
        <w:t>:</w:t>
      </w:r>
    </w:p>
    <w:p w14:paraId="2B184731" w14:textId="77777777" w:rsidR="0029245C" w:rsidRPr="0029245C" w:rsidRDefault="0029245C" w:rsidP="0029245C">
      <w:pPr>
        <w:rPr>
          <w:rFonts w:cs="Times New Roman"/>
          <w:color w:val="000000" w:themeColor="text1"/>
          <w:lang w:val="pt-BR"/>
        </w:rPr>
      </w:pPr>
    </w:p>
    <w:tbl>
      <w:tblPr>
        <w:tblW w:w="0" w:type="auto"/>
        <w:tblLook w:val="04A0" w:firstRow="1" w:lastRow="0" w:firstColumn="1" w:lastColumn="0" w:noHBand="0" w:noVBand="1"/>
      </w:tblPr>
      <w:tblGrid>
        <w:gridCol w:w="4015"/>
        <w:gridCol w:w="352"/>
      </w:tblGrid>
      <w:tr w:rsidR="0029245C" w:rsidRPr="00E63A98" w14:paraId="3630E052" w14:textId="77777777" w:rsidTr="0055406C">
        <w:trPr>
          <w:trHeight w:val="617"/>
        </w:trPr>
        <w:tc>
          <w:tcPr>
            <w:tcW w:w="4928" w:type="dxa"/>
            <w:shd w:val="clear" w:color="auto" w:fill="auto"/>
          </w:tcPr>
          <w:p w14:paraId="65F96551" w14:textId="02D9D902" w:rsidR="0029245C" w:rsidRPr="00E63A98" w:rsidRDefault="00715823" w:rsidP="00D6550E">
            <w:pPr>
              <w:tabs>
                <w:tab w:val="left" w:pos="656"/>
              </w:tabs>
              <w:ind w:left="284"/>
              <w:jc w:val="center"/>
              <w:rPr>
                <w:rFonts w:cs="Times New Roman"/>
                <w:color w:val="000000" w:themeColor="text1"/>
              </w:rPr>
            </w:pPr>
            <m:oMathPara>
              <m:oMathParaPr>
                <m:jc m:val="left"/>
              </m:oMathParaPr>
              <m:oMath>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η</m:t>
                    </m:r>
                  </m:e>
                  <m:sub>
                    <m:r>
                      <w:rPr>
                        <w:rFonts w:ascii="Cambria Math" w:eastAsia="Times New Roman" w:hAnsi="Cambria Math" w:cs="Times New Roman"/>
                        <w:color w:val="000000" w:themeColor="text1"/>
                      </w:rPr>
                      <m:t>ele</m:t>
                    </m:r>
                  </m:sub>
                </m:sSub>
                <m:r>
                  <m:rPr>
                    <m:sty m:val="p"/>
                  </m:rPr>
                  <w:rPr>
                    <w:rFonts w:ascii="Cambria Math" w:eastAsia="Times New Roman" w:hAnsi="Cambria Math" w:cs="Times New Roman"/>
                    <w:color w:val="000000" w:themeColor="text1"/>
                  </w:rPr>
                  <m:t>=</m:t>
                </m:r>
                <m:f>
                  <m:fPr>
                    <m:ctrlPr>
                      <w:rPr>
                        <w:rFonts w:ascii="Cambria Math" w:eastAsia="Times New Roman" w:hAnsi="Cambria Math" w:cs="Times New Roman"/>
                        <w:color w:val="000000" w:themeColor="text1"/>
                      </w:rPr>
                    </m:ctrlPr>
                  </m:fPr>
                  <m:num>
                    <m:sSub>
                      <m:sSubPr>
                        <m:ctrlPr>
                          <w:rPr>
                            <w:rFonts w:ascii="Cambria Math" w:eastAsia="Times New Roman" w:hAnsi="Cambria Math" w:cs="Times New Roman"/>
                            <w:color w:val="000000" w:themeColor="text1"/>
                          </w:rPr>
                        </m:ctrlPr>
                      </m:sSubPr>
                      <m:e>
                        <m:acc>
                          <m:accPr>
                            <m:chr m:val="̇"/>
                            <m:ctrlPr>
                              <w:rPr>
                                <w:rFonts w:ascii="Cambria Math" w:eastAsia="Times New Roman" w:hAnsi="Cambria Math" w:cs="Times New Roman"/>
                                <w:color w:val="000000" w:themeColor="text1"/>
                              </w:rPr>
                            </m:ctrlPr>
                          </m:accPr>
                          <m:e>
                            <m:r>
                              <m:rPr>
                                <m:sty m:val="p"/>
                              </m:rPr>
                              <w:rPr>
                                <w:rFonts w:ascii="Cambria Math" w:eastAsia="Times New Roman" w:hAnsi="Cambria Math" w:cs="Times New Roman"/>
                                <w:color w:val="000000" w:themeColor="text1"/>
                              </w:rPr>
                              <m:t>m</m:t>
                            </m:r>
                          </m:e>
                        </m:acc>
                      </m:e>
                      <m:sub>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H</m:t>
                            </m:r>
                          </m:e>
                          <m:sub>
                            <m:r>
                              <m:rPr>
                                <m:sty m:val="p"/>
                              </m:rPr>
                              <w:rPr>
                                <w:rFonts w:ascii="Cambria Math" w:eastAsia="Times New Roman" w:hAnsi="Cambria Math" w:cs="Times New Roman"/>
                                <w:color w:val="000000" w:themeColor="text1"/>
                              </w:rPr>
                              <m:t>2</m:t>
                            </m:r>
                          </m:sub>
                        </m:sSub>
                      </m:sub>
                    </m:sSub>
                    <m:r>
                      <m:rPr>
                        <m:sty m:val="p"/>
                      </m:rPr>
                      <w:rPr>
                        <w:rFonts w:ascii="Cambria Math" w:eastAsia="Times New Roman" w:hAnsi="Cambria Math" w:cs="Times New Roman"/>
                        <w:color w:val="000000" w:themeColor="text1"/>
                      </w:rPr>
                      <m:t xml:space="preserve">. </m:t>
                    </m:r>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PCI</m:t>
                        </m:r>
                      </m:e>
                      <m:sub>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H</m:t>
                            </m:r>
                          </m:e>
                          <m:sub>
                            <m:r>
                              <m:rPr>
                                <m:sty m:val="p"/>
                              </m:rPr>
                              <w:rPr>
                                <w:rFonts w:ascii="Cambria Math" w:eastAsia="Times New Roman" w:hAnsi="Cambria Math" w:cs="Times New Roman"/>
                                <w:color w:val="000000" w:themeColor="text1"/>
                              </w:rPr>
                              <m:t>2</m:t>
                            </m:r>
                          </m:sub>
                        </m:sSub>
                      </m:sub>
                    </m:sSub>
                  </m:num>
                  <m:den>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P</m:t>
                        </m:r>
                      </m:e>
                      <m:sub>
                        <m:r>
                          <w:rPr>
                            <w:rFonts w:ascii="Cambria Math" w:eastAsia="Times New Roman" w:hAnsi="Cambria Math" w:cs="Times New Roman"/>
                            <w:color w:val="000000" w:themeColor="text1"/>
                          </w:rPr>
                          <m:t>el</m:t>
                        </m:r>
                        <m:r>
                          <m:rPr>
                            <m:sty m:val="p"/>
                          </m:rPr>
                          <w:rPr>
                            <w:rFonts w:ascii="Cambria Math" w:eastAsia="Times New Roman" w:hAnsi="Cambria Math" w:cs="Times New Roman"/>
                            <w:color w:val="000000" w:themeColor="text1"/>
                          </w:rPr>
                          <m:t>,</m:t>
                        </m:r>
                        <m:r>
                          <w:rPr>
                            <w:rFonts w:ascii="Cambria Math" w:eastAsia="Times New Roman" w:hAnsi="Cambria Math" w:cs="Times New Roman"/>
                            <w:color w:val="000000" w:themeColor="text1"/>
                          </w:rPr>
                          <m:t>eletr</m:t>
                        </m:r>
                      </m:sub>
                    </m:sSub>
                  </m:den>
                </m:f>
              </m:oMath>
            </m:oMathPara>
          </w:p>
        </w:tc>
        <w:tc>
          <w:tcPr>
            <w:tcW w:w="355" w:type="dxa"/>
            <w:shd w:val="clear" w:color="auto" w:fill="auto"/>
          </w:tcPr>
          <w:p w14:paraId="2BB0BC34" w14:textId="77777777" w:rsidR="0029245C" w:rsidRPr="00E63A98" w:rsidRDefault="0029245C" w:rsidP="0055406C">
            <w:pPr>
              <w:tabs>
                <w:tab w:val="left" w:pos="426"/>
              </w:tabs>
              <w:ind w:left="-108"/>
              <w:rPr>
                <w:rFonts w:cs="Times New Roman"/>
                <w:color w:val="000000" w:themeColor="text1"/>
              </w:rPr>
            </w:pPr>
            <w:r w:rsidRPr="00E63A98">
              <w:rPr>
                <w:rFonts w:cs="Times New Roman"/>
                <w:color w:val="000000" w:themeColor="text1"/>
              </w:rPr>
              <w:t>[</w:t>
            </w:r>
            <w:r>
              <w:rPr>
                <w:rFonts w:cs="Times New Roman"/>
                <w:color w:val="000000" w:themeColor="text1"/>
              </w:rPr>
              <w:t>8</w:t>
            </w:r>
            <w:r w:rsidRPr="00E63A98">
              <w:rPr>
                <w:rFonts w:cs="Times New Roman"/>
                <w:color w:val="000000" w:themeColor="text1"/>
              </w:rPr>
              <w:t>]</w:t>
            </w:r>
          </w:p>
        </w:tc>
      </w:tr>
    </w:tbl>
    <w:p w14:paraId="7A857466" w14:textId="650A84E0" w:rsidR="001B2E00" w:rsidRDefault="0029245C" w:rsidP="0029245C">
      <w:pPr>
        <w:tabs>
          <w:tab w:val="left" w:pos="426"/>
        </w:tabs>
        <w:rPr>
          <w:rFonts w:cs="Times New Roman"/>
          <w:color w:val="000000" w:themeColor="text1"/>
          <w:lang w:val="pt-BR"/>
        </w:rPr>
      </w:pPr>
      <w:r w:rsidRPr="0029245C">
        <w:rPr>
          <w:rFonts w:cs="Times New Roman"/>
          <w:color w:val="000000" w:themeColor="text1"/>
          <w:lang w:val="pt-BR"/>
        </w:rPr>
        <w:t xml:space="preserve">Em </w:t>
      </w:r>
      <w:proofErr w:type="gramStart"/>
      <w:r w:rsidRPr="0029245C">
        <w:rPr>
          <w:rFonts w:cs="Times New Roman"/>
          <w:color w:val="000000" w:themeColor="text1"/>
          <w:lang w:val="pt-BR"/>
        </w:rPr>
        <w:t xml:space="preserve">que </w:t>
      </w:r>
      <m:oMath>
        <m:sSub>
          <m:sSubPr>
            <m:ctrlPr>
              <w:rPr>
                <w:rFonts w:ascii="Cambria Math" w:eastAsia="Times New Roman" w:hAnsi="Cambria Math" w:cs="Times New Roman"/>
                <w:color w:val="000000" w:themeColor="text1"/>
              </w:rPr>
            </m:ctrlPr>
          </m:sSubPr>
          <m:e>
            <m:acc>
              <m:accPr>
                <m:chr m:val="̇"/>
                <m:ctrlPr>
                  <w:rPr>
                    <w:rFonts w:ascii="Cambria Math" w:eastAsia="Times New Roman" w:hAnsi="Cambria Math" w:cs="Times New Roman"/>
                    <w:color w:val="000000" w:themeColor="text1"/>
                    <w:lang w:val="pt-BR"/>
                  </w:rPr>
                </m:ctrlPr>
              </m:accPr>
              <m:e>
                <m:r>
                  <m:rPr>
                    <m:sty m:val="p"/>
                  </m:rPr>
                  <w:rPr>
                    <w:rFonts w:ascii="Cambria Math" w:eastAsia="Times New Roman" w:hAnsi="Cambria Math" w:cs="Times New Roman"/>
                    <w:color w:val="000000" w:themeColor="text1"/>
                    <w:lang w:val="pt-BR"/>
                  </w:rPr>
                  <m:t>m</m:t>
                </m:r>
              </m:e>
            </m:acc>
          </m:e>
          <m:sub>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H</m:t>
                </m:r>
              </m:e>
              <m:sub>
                <m:r>
                  <m:rPr>
                    <m:sty m:val="p"/>
                  </m:rPr>
                  <w:rPr>
                    <w:rFonts w:ascii="Cambria Math" w:eastAsia="Times New Roman" w:hAnsi="Cambria Math" w:cs="Times New Roman"/>
                    <w:color w:val="000000" w:themeColor="text1"/>
                    <w:lang w:val="pt-BR"/>
                  </w:rPr>
                  <m:t>2</m:t>
                </m:r>
              </m:sub>
            </m:sSub>
          </m:sub>
        </m:sSub>
      </m:oMath>
      <w:r w:rsidRPr="0029245C">
        <w:rPr>
          <w:rFonts w:cs="Times New Roman"/>
          <w:color w:val="000000" w:themeColor="text1"/>
          <w:lang w:val="pt-BR"/>
        </w:rPr>
        <w:t xml:space="preserve"> é</w:t>
      </w:r>
      <w:proofErr w:type="gramEnd"/>
      <w:r w:rsidRPr="0029245C">
        <w:rPr>
          <w:rFonts w:cs="Times New Roman"/>
          <w:color w:val="000000" w:themeColor="text1"/>
          <w:lang w:val="pt-BR"/>
        </w:rPr>
        <w:t xml:space="preserve"> a vazão mássica de hidrogênio no eletrolisador (kg/</w:t>
      </w:r>
      <w:r w:rsidR="00D6550E">
        <w:rPr>
          <w:rFonts w:cs="Times New Roman"/>
          <w:color w:val="000000" w:themeColor="text1"/>
          <w:lang w:val="pt-BR"/>
        </w:rPr>
        <w:t>s</w:t>
      </w:r>
      <w:r w:rsidRPr="0029245C">
        <w:rPr>
          <w:rFonts w:cs="Times New Roman"/>
          <w:color w:val="000000" w:themeColor="text1"/>
          <w:lang w:val="pt-BR"/>
        </w:rPr>
        <w:t xml:space="preserve">), </w:t>
      </w:r>
      <m:oMath>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PCI</m:t>
            </m:r>
          </m:e>
          <m:sub>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H</m:t>
                </m:r>
              </m:e>
              <m:sub>
                <m:r>
                  <m:rPr>
                    <m:sty m:val="p"/>
                  </m:rPr>
                  <w:rPr>
                    <w:rFonts w:ascii="Cambria Math" w:eastAsia="Times New Roman" w:hAnsi="Cambria Math" w:cs="Times New Roman"/>
                    <w:color w:val="000000" w:themeColor="text1"/>
                    <w:lang w:val="pt-BR"/>
                  </w:rPr>
                  <m:t>2</m:t>
                </m:r>
              </m:sub>
            </m:sSub>
          </m:sub>
        </m:sSub>
      </m:oMath>
      <w:r w:rsidRPr="0029245C">
        <w:rPr>
          <w:rFonts w:cs="Times New Roman"/>
          <w:color w:val="000000" w:themeColor="text1"/>
          <w:lang w:val="pt-BR"/>
        </w:rPr>
        <w:t xml:space="preserve"> é o Poder Calorífico Inferior do hidrogênio (120</w:t>
      </w:r>
      <w:r w:rsidR="00D6550E">
        <w:rPr>
          <w:rFonts w:cs="Times New Roman"/>
          <w:color w:val="000000" w:themeColor="text1"/>
          <w:lang w:val="pt-BR"/>
        </w:rPr>
        <w:t xml:space="preserve"> M</w:t>
      </w:r>
      <w:r w:rsidRPr="0029245C">
        <w:rPr>
          <w:rFonts w:cs="Times New Roman"/>
          <w:color w:val="000000" w:themeColor="text1"/>
          <w:lang w:val="pt-BR"/>
        </w:rPr>
        <w:t xml:space="preserve">J/kg) e </w:t>
      </w:r>
      <m:oMath>
        <m:sSub>
          <m:sSubPr>
            <m:ctrlPr>
              <w:rPr>
                <w:rFonts w:ascii="Cambria Math" w:eastAsia="Times New Roman" w:hAnsi="Cambria Math" w:cs="Times New Roman"/>
                <w:color w:val="000000" w:themeColor="text1"/>
              </w:rPr>
            </m:ctrlPr>
          </m:sSubPr>
          <m:e>
            <m:r>
              <w:rPr>
                <w:rFonts w:ascii="Cambria Math" w:eastAsia="Times New Roman" w:hAnsi="Cambria Math" w:cs="Times New Roman"/>
                <w:color w:val="000000" w:themeColor="text1"/>
              </w:rPr>
              <m:t>P</m:t>
            </m:r>
          </m:e>
          <m:sub>
            <m:r>
              <w:rPr>
                <w:rFonts w:ascii="Cambria Math" w:eastAsia="Times New Roman" w:hAnsi="Cambria Math" w:cs="Times New Roman"/>
                <w:color w:val="000000" w:themeColor="text1"/>
              </w:rPr>
              <m:t>el</m:t>
            </m:r>
            <m:r>
              <m:rPr>
                <m:sty m:val="p"/>
              </m:rPr>
              <w:rPr>
                <w:rFonts w:ascii="Cambria Math" w:eastAsia="Times New Roman" w:hAnsi="Cambria Math" w:cs="Times New Roman"/>
                <w:color w:val="000000" w:themeColor="text1"/>
                <w:lang w:val="pt-BR"/>
              </w:rPr>
              <m:t>,</m:t>
            </m:r>
            <m:r>
              <w:rPr>
                <w:rFonts w:ascii="Cambria Math" w:eastAsia="Times New Roman" w:hAnsi="Cambria Math" w:cs="Times New Roman"/>
                <w:color w:val="000000" w:themeColor="text1"/>
              </w:rPr>
              <m:t>eletr</m:t>
            </m:r>
          </m:sub>
        </m:sSub>
      </m:oMath>
      <w:r w:rsidRPr="0029245C">
        <w:rPr>
          <w:rFonts w:cs="Times New Roman"/>
          <w:color w:val="000000" w:themeColor="text1"/>
          <w:lang w:val="pt-BR"/>
        </w:rPr>
        <w:t xml:space="preserve"> é </w:t>
      </w:r>
      <w:r w:rsidR="00D6550E">
        <w:rPr>
          <w:rFonts w:cs="Times New Roman"/>
          <w:color w:val="000000" w:themeColor="text1"/>
          <w:lang w:val="pt-BR"/>
        </w:rPr>
        <w:t>a</w:t>
      </w:r>
      <w:r w:rsidRPr="0029245C">
        <w:rPr>
          <w:rFonts w:cs="Times New Roman"/>
          <w:color w:val="000000" w:themeColor="text1"/>
          <w:lang w:val="pt-BR"/>
        </w:rPr>
        <w:t xml:space="preserve"> </w:t>
      </w:r>
      <w:r w:rsidR="00D6550E">
        <w:rPr>
          <w:rFonts w:cs="Times New Roman"/>
          <w:color w:val="000000" w:themeColor="text1"/>
          <w:lang w:val="pt-BR"/>
        </w:rPr>
        <w:t>potência</w:t>
      </w:r>
      <w:r w:rsidRPr="0029245C">
        <w:rPr>
          <w:rFonts w:cs="Times New Roman"/>
          <w:color w:val="000000" w:themeColor="text1"/>
          <w:lang w:val="pt-BR"/>
        </w:rPr>
        <w:t xml:space="preserve"> elét</w:t>
      </w:r>
      <w:r w:rsidR="001B2E00">
        <w:rPr>
          <w:rFonts w:cs="Times New Roman"/>
          <w:color w:val="000000" w:themeColor="text1"/>
          <w:lang w:val="pt-BR"/>
        </w:rPr>
        <w:t>ric</w:t>
      </w:r>
      <w:r w:rsidR="00D6550E">
        <w:rPr>
          <w:rFonts w:cs="Times New Roman"/>
          <w:color w:val="000000" w:themeColor="text1"/>
          <w:lang w:val="pt-BR"/>
        </w:rPr>
        <w:t>a</w:t>
      </w:r>
      <w:r w:rsidR="001B2E00">
        <w:rPr>
          <w:rFonts w:cs="Times New Roman"/>
          <w:color w:val="000000" w:themeColor="text1"/>
          <w:lang w:val="pt-BR"/>
        </w:rPr>
        <w:t xml:space="preserve"> do</w:t>
      </w:r>
      <w:r w:rsidR="00C263F7">
        <w:rPr>
          <w:rFonts w:cs="Times New Roman"/>
          <w:color w:val="000000" w:themeColor="text1"/>
          <w:lang w:val="pt-BR"/>
        </w:rPr>
        <w:t xml:space="preserve"> </w:t>
      </w:r>
      <w:proofErr w:type="spellStart"/>
      <w:r w:rsidR="00D6550E">
        <w:rPr>
          <w:rFonts w:cs="Times New Roman"/>
          <w:color w:val="000000" w:themeColor="text1"/>
          <w:lang w:val="pt-BR"/>
        </w:rPr>
        <w:t>eletrolisador</w:t>
      </w:r>
      <w:proofErr w:type="spellEnd"/>
      <w:r w:rsidR="00D6550E">
        <w:rPr>
          <w:rFonts w:cs="Times New Roman"/>
          <w:color w:val="000000" w:themeColor="text1"/>
          <w:lang w:val="pt-BR"/>
        </w:rPr>
        <w:t xml:space="preserve"> (MW</w:t>
      </w:r>
      <w:r w:rsidR="001B2E00">
        <w:rPr>
          <w:rFonts w:cs="Times New Roman"/>
          <w:color w:val="000000" w:themeColor="text1"/>
          <w:lang w:val="pt-BR"/>
        </w:rPr>
        <w:t>).</w:t>
      </w:r>
    </w:p>
    <w:p w14:paraId="43BAEE91" w14:textId="77777777" w:rsidR="008757FA" w:rsidRPr="0029245C" w:rsidRDefault="008757FA" w:rsidP="0029245C">
      <w:pPr>
        <w:tabs>
          <w:tab w:val="left" w:pos="426"/>
        </w:tabs>
        <w:rPr>
          <w:rFonts w:cs="Times New Roman"/>
          <w:color w:val="000000" w:themeColor="text1"/>
          <w:lang w:val="pt-BR"/>
        </w:rPr>
      </w:pPr>
    </w:p>
    <w:p w14:paraId="704408A4" w14:textId="77777777" w:rsidR="0029245C" w:rsidRPr="0029245C" w:rsidRDefault="0029245C" w:rsidP="0029245C">
      <w:pPr>
        <w:pStyle w:val="Ttulo1"/>
        <w:keepNext/>
        <w:keepLines/>
        <w:numPr>
          <w:ilvl w:val="1"/>
          <w:numId w:val="26"/>
        </w:numPr>
        <w:spacing w:line="259" w:lineRule="auto"/>
        <w:ind w:left="0" w:firstLine="0"/>
        <w:contextualSpacing w:val="0"/>
        <w:jc w:val="left"/>
        <w:rPr>
          <w:color w:val="000000" w:themeColor="text1"/>
          <w:lang w:val="pt-BR"/>
        </w:rPr>
      </w:pPr>
      <w:r w:rsidRPr="0029245C">
        <w:rPr>
          <w:color w:val="000000" w:themeColor="text1"/>
          <w:lang w:val="pt-BR"/>
        </w:rPr>
        <w:t xml:space="preserve">Análise econômica para a geração de </w:t>
      </w:r>
      <w:proofErr w:type="spellStart"/>
      <w:r w:rsidRPr="0029245C">
        <w:rPr>
          <w:color w:val="000000" w:themeColor="text1"/>
          <w:lang w:val="pt-BR"/>
        </w:rPr>
        <w:t>bioeletricidade</w:t>
      </w:r>
      <w:proofErr w:type="spellEnd"/>
    </w:p>
    <w:p w14:paraId="7D0C6AD8" w14:textId="77777777" w:rsidR="0029245C" w:rsidRPr="0029245C" w:rsidRDefault="0029245C" w:rsidP="0029245C">
      <w:pPr>
        <w:rPr>
          <w:lang w:val="pt-BR"/>
        </w:rPr>
      </w:pPr>
    </w:p>
    <w:p w14:paraId="606BD6A1" w14:textId="10605E90" w:rsidR="0029245C" w:rsidRPr="00E63A98" w:rsidRDefault="0029245C" w:rsidP="0029245C">
      <w:pPr>
        <w:pStyle w:val="Text"/>
        <w:ind w:firstLine="0"/>
        <w:rPr>
          <w:color w:val="000000" w:themeColor="text1"/>
          <w:lang w:val="pt-BR"/>
        </w:rPr>
      </w:pPr>
      <w:r w:rsidRPr="00E63A98">
        <w:rPr>
          <w:color w:val="000000" w:themeColor="text1"/>
          <w:lang w:val="pt-BR"/>
        </w:rPr>
        <w:t xml:space="preserve">Utilizando a metodologia proposta por Silveira, Tuna e Lamas </w:t>
      </w:r>
      <w:r w:rsidRPr="00E63A98">
        <w:rPr>
          <w:color w:val="000000" w:themeColor="text1"/>
        </w:rPr>
        <w:fldChar w:fldCharType="begin" w:fldLock="1"/>
      </w:r>
      <w:r w:rsidRPr="00E63A98">
        <w:rPr>
          <w:color w:val="000000" w:themeColor="text1"/>
          <w:lang w:val="pt-BR"/>
        </w:rPr>
        <w:instrText>ADDIN CSL_CITATION {"citationItems":[{"id":"ITEM-1","itemData":{"DOI":"10.1016/j.rser.2012.11.054","abstract":"The growing demand for electrical power and the limited capital invested to provide this power is forcing countries like Brazil to search for new alternatives for electrical power generation. The purpose of this paper is to present a technical and economic study on a 15 kW solar plant installed in an isolated community, highlighting the importance of the need for financial subsidy from the government. It evaluates the importance of parameters such as the annual interest rate, specific investment, the marginal cost of expanding the electrical power supply and the government subsidy on amortization time of capital invested.","author":[{"dropping-particle":"","family":"Silveira","given":"Jose Luz","non-dropping-particle":"","parse-names":false,"suffix":""},{"dropping-particle":"","family":"Tuna","given":"Celso Eduardo","non-dropping-particle":"","parse-names":false,"suffix":""},{"dropping-particle":"","family":"Queiroz Lamas","given":"Wendell","non-dropping-particle":"De","parse-names":false,"suffix":""}],"id":"ITEM-1","issued":{"date-parts":[["2013"]]},"title":"The need of subsidy for the implementation of photovoltaic solar energy as supporting of decentralized electrical power generation in Brazil","type":"article-journal"},"uris":["http://www.mendeley.com/documents/?uuid=498843fe-2b09-3add-87e9-db16e11a2ce3"]}],"mendeley":{"formattedCitation":"[12]","plainTextFormattedCitation":"[12]","previouslyFormattedCitation":"[12]"},"properties":{"noteIndex":0},"schema":"https://github.com/citation-style-language/schema/raw/master/csl-citation.json"}</w:instrText>
      </w:r>
      <w:r w:rsidRPr="00E63A98">
        <w:rPr>
          <w:color w:val="000000" w:themeColor="text1"/>
        </w:rPr>
        <w:fldChar w:fldCharType="separate"/>
      </w:r>
      <w:r w:rsidRPr="00E63A98">
        <w:rPr>
          <w:noProof/>
          <w:color w:val="000000" w:themeColor="text1"/>
          <w:lang w:val="pt-BR"/>
        </w:rPr>
        <w:t>[12]</w:t>
      </w:r>
      <w:r w:rsidRPr="00E63A98">
        <w:rPr>
          <w:color w:val="000000" w:themeColor="text1"/>
        </w:rPr>
        <w:fldChar w:fldCharType="end"/>
      </w:r>
      <w:r w:rsidRPr="00E63A98">
        <w:rPr>
          <w:color w:val="000000" w:themeColor="text1"/>
          <w:lang w:val="pt-BR"/>
        </w:rPr>
        <w:t xml:space="preserve"> o custo da energia elétrica gerada por uma planta geradora é calculado com a equação [</w:t>
      </w:r>
      <w:r>
        <w:rPr>
          <w:color w:val="000000" w:themeColor="text1"/>
          <w:lang w:val="pt-BR"/>
        </w:rPr>
        <w:t>9</w:t>
      </w:r>
      <w:r w:rsidRPr="00E63A98">
        <w:rPr>
          <w:color w:val="000000" w:themeColor="text1"/>
          <w:lang w:val="pt-BR"/>
        </w:rPr>
        <w:t xml:space="preserve">]: </w:t>
      </w:r>
    </w:p>
    <w:p w14:paraId="2415C990" w14:textId="77777777" w:rsidR="0029245C" w:rsidRPr="00E63A98" w:rsidRDefault="0029245C" w:rsidP="0029245C">
      <w:pPr>
        <w:pStyle w:val="Text"/>
        <w:rPr>
          <w:color w:val="000000" w:themeColor="text1"/>
          <w:lang w:val="pt-B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07"/>
        <w:gridCol w:w="450"/>
      </w:tblGrid>
      <w:tr w:rsidR="0029245C" w:rsidRPr="00E63A98" w14:paraId="5C3DF617" w14:textId="77777777" w:rsidTr="0055406C">
        <w:trPr>
          <w:trHeight w:val="126"/>
        </w:trPr>
        <w:tc>
          <w:tcPr>
            <w:tcW w:w="4786" w:type="dxa"/>
            <w:shd w:val="clear" w:color="auto" w:fill="auto"/>
          </w:tcPr>
          <w:p w14:paraId="72E26271" w14:textId="0D376428" w:rsidR="0029245C" w:rsidRPr="00E63A98" w:rsidRDefault="0029245C" w:rsidP="0055406C">
            <w:pPr>
              <w:pStyle w:val="Text"/>
              <w:rPr>
                <w:i/>
                <w:color w:val="000000" w:themeColor="text1"/>
                <w:lang w:val="pt-BR"/>
              </w:rPr>
            </w:pPr>
            <w:proofErr w:type="spellStart"/>
            <w:r w:rsidRPr="00E63A98">
              <w:rPr>
                <w:i/>
                <w:color w:val="000000" w:themeColor="text1"/>
                <w:lang w:val="pt-BR"/>
              </w:rPr>
              <w:t>C</w:t>
            </w:r>
            <w:r w:rsidRPr="00E63A98">
              <w:rPr>
                <w:i/>
                <w:color w:val="000000" w:themeColor="text1"/>
                <w:vertAlign w:val="subscript"/>
                <w:lang w:val="pt-BR"/>
              </w:rPr>
              <w:t>el</w:t>
            </w:r>
            <w:proofErr w:type="spellEnd"/>
            <w:r w:rsidRPr="00E63A98">
              <w:rPr>
                <w:i/>
                <w:color w:val="000000" w:themeColor="text1"/>
                <w:lang w:val="pt-BR"/>
              </w:rPr>
              <w:t>= ((</w:t>
            </w:r>
            <w:proofErr w:type="spellStart"/>
            <w:r w:rsidRPr="00E63A98">
              <w:rPr>
                <w:i/>
                <w:color w:val="000000" w:themeColor="text1"/>
                <w:lang w:val="pt-BR"/>
              </w:rPr>
              <w:t>I</w:t>
            </w:r>
            <w:r w:rsidRPr="00E63A98">
              <w:rPr>
                <w:i/>
                <w:color w:val="000000" w:themeColor="text1"/>
                <w:vertAlign w:val="subscript"/>
                <w:lang w:val="pt-BR"/>
              </w:rPr>
              <w:t>pl</w:t>
            </w:r>
            <w:proofErr w:type="spellEnd"/>
            <w:r w:rsidRPr="00E63A98">
              <w:rPr>
                <w:i/>
                <w:color w:val="000000" w:themeColor="text1"/>
                <w:lang w:val="pt-BR"/>
              </w:rPr>
              <w:t xml:space="preserve"> </w:t>
            </w:r>
            <w:proofErr w:type="spellStart"/>
            <w:proofErr w:type="gramStart"/>
            <w:r w:rsidRPr="00E63A98">
              <w:rPr>
                <w:i/>
                <w:color w:val="000000" w:themeColor="text1"/>
                <w:lang w:val="pt-BR"/>
              </w:rPr>
              <w:t>xf</w:t>
            </w:r>
            <w:proofErr w:type="spellEnd"/>
            <w:r w:rsidRPr="00E63A98">
              <w:rPr>
                <w:i/>
                <w:color w:val="000000" w:themeColor="text1"/>
                <w:lang w:val="pt-BR"/>
              </w:rPr>
              <w:t>)/</w:t>
            </w:r>
            <w:proofErr w:type="gramEnd"/>
            <w:r w:rsidRPr="00E63A98">
              <w:rPr>
                <w:i/>
                <w:color w:val="000000" w:themeColor="text1"/>
                <w:lang w:val="pt-BR"/>
              </w:rPr>
              <w:t xml:space="preserve">(365×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Op</m:t>
                  </m:r>
                </m:sub>
              </m:sSub>
            </m:oMath>
            <w:r w:rsidRPr="00E63A98">
              <w:rPr>
                <w:i/>
                <w:color w:val="000000" w:themeColor="text1"/>
                <w:lang w:val="pt-BR"/>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el</m:t>
                  </m:r>
                  <m:r>
                    <w:rPr>
                      <w:rFonts w:ascii="Cambria Math" w:hAnsi="Cambria Math"/>
                      <w:color w:val="000000" w:themeColor="text1"/>
                      <w:lang w:val="pt-BR"/>
                    </w:rPr>
                    <m:t xml:space="preserve"> </m:t>
                  </m:r>
                </m:sub>
              </m:sSub>
            </m:oMath>
            <w:r w:rsidRPr="00E63A98">
              <w:rPr>
                <w:i/>
                <w:color w:val="000000" w:themeColor="text1"/>
                <w:lang w:val="pt-BR"/>
              </w:rPr>
              <w:t xml:space="preserve">)) + </w:t>
            </w:r>
            <w:r w:rsidRPr="00E63A98">
              <w:rPr>
                <w:rFonts w:ascii="Cambria Math" w:hAnsi="Cambria Math" w:cs="Cambria Math"/>
                <w:i/>
                <w:color w:val="000000" w:themeColor="text1"/>
                <w:lang w:val="pt-BR"/>
              </w:rPr>
              <w:t>𝐶</w:t>
            </w:r>
            <w:r w:rsidRPr="00E63A98">
              <w:rPr>
                <w:i/>
                <w:color w:val="000000" w:themeColor="text1"/>
                <w:vertAlign w:val="subscript"/>
                <w:lang w:val="pt-BR"/>
              </w:rPr>
              <w:t>O&amp;M</w:t>
            </w:r>
          </w:p>
          <w:p w14:paraId="71E76DAD" w14:textId="478CED46" w:rsidR="0029245C" w:rsidRPr="00E63A98" w:rsidRDefault="0029245C" w:rsidP="0055406C">
            <w:pPr>
              <w:pStyle w:val="Text"/>
              <w:ind w:firstLine="0"/>
              <w:rPr>
                <w:color w:val="000000" w:themeColor="text1"/>
                <w:lang w:val="pt-BR"/>
              </w:rPr>
            </w:pPr>
          </w:p>
        </w:tc>
        <w:tc>
          <w:tcPr>
            <w:tcW w:w="394" w:type="dxa"/>
            <w:shd w:val="clear" w:color="auto" w:fill="auto"/>
          </w:tcPr>
          <w:p w14:paraId="566783F3" w14:textId="77777777" w:rsidR="0029245C" w:rsidRPr="00E63A98" w:rsidRDefault="0029245C" w:rsidP="0055406C">
            <w:pPr>
              <w:pStyle w:val="Text"/>
              <w:ind w:firstLine="0"/>
              <w:jc w:val="right"/>
              <w:rPr>
                <w:color w:val="000000" w:themeColor="text1"/>
                <w:lang w:val="pt-BR"/>
              </w:rPr>
            </w:pPr>
            <w:r w:rsidRPr="00E63A98">
              <w:rPr>
                <w:color w:val="000000" w:themeColor="text1"/>
                <w:lang w:val="pt-BR"/>
              </w:rPr>
              <w:t>[</w:t>
            </w:r>
            <w:r>
              <w:rPr>
                <w:color w:val="000000" w:themeColor="text1"/>
                <w:lang w:val="pt-BR"/>
              </w:rPr>
              <w:t>9</w:t>
            </w:r>
            <w:r w:rsidRPr="00E63A98">
              <w:rPr>
                <w:color w:val="000000" w:themeColor="text1"/>
                <w:lang w:val="pt-BR"/>
              </w:rPr>
              <w:t>]</w:t>
            </w:r>
          </w:p>
        </w:tc>
      </w:tr>
    </w:tbl>
    <w:p w14:paraId="5016B103" w14:textId="34D1FA73" w:rsidR="0029245C" w:rsidRPr="00E63A98" w:rsidRDefault="0029245C" w:rsidP="0029245C">
      <w:pPr>
        <w:pStyle w:val="Text"/>
        <w:ind w:firstLine="0"/>
        <w:rPr>
          <w:color w:val="000000" w:themeColor="text1"/>
          <w:lang w:val="pt-BR"/>
        </w:rPr>
      </w:pPr>
      <w:r w:rsidRPr="00E63A98">
        <w:rPr>
          <w:color w:val="000000" w:themeColor="text1"/>
          <w:lang w:val="pt-BR"/>
        </w:rPr>
        <w:t xml:space="preserve">Em que </w:t>
      </w:r>
      <w:proofErr w:type="spellStart"/>
      <w:r w:rsidR="002C6241" w:rsidRPr="002C6241">
        <w:rPr>
          <w:rFonts w:ascii="Cambria Math" w:hAnsi="Cambria Math" w:cs="Cambria Math"/>
          <w:i/>
          <w:color w:val="000000" w:themeColor="text1"/>
          <w:lang w:val="pt-BR"/>
        </w:rPr>
        <w:t>I</w:t>
      </w:r>
      <w:r w:rsidR="002C6241" w:rsidRPr="002C6241">
        <w:rPr>
          <w:rFonts w:ascii="Cambria Math" w:hAnsi="Cambria Math" w:cs="Cambria Math"/>
          <w:i/>
          <w:color w:val="000000" w:themeColor="text1"/>
          <w:vertAlign w:val="subscript"/>
          <w:lang w:val="pt-BR"/>
        </w:rPr>
        <w:t>pl</w:t>
      </w:r>
      <w:proofErr w:type="spellEnd"/>
      <w:r w:rsidRPr="00E63A98">
        <w:rPr>
          <w:color w:val="000000" w:themeColor="text1"/>
          <w:lang w:val="pt-BR"/>
        </w:rPr>
        <w:t xml:space="preserve"> é o investimento total na planta [US$], </w:t>
      </w:r>
      <w:r w:rsidRPr="00E63A98">
        <w:rPr>
          <w:rFonts w:ascii="Cambria Math" w:hAnsi="Cambria Math" w:cs="Cambria Math"/>
          <w:color w:val="000000" w:themeColor="text1"/>
          <w:lang w:val="pt-BR"/>
        </w:rPr>
        <w:t>𝑓</w:t>
      </w:r>
      <w:r w:rsidRPr="00E63A98">
        <w:rPr>
          <w:color w:val="000000" w:themeColor="text1"/>
          <w:lang w:val="pt-BR"/>
        </w:rPr>
        <w:t xml:space="preserve"> é o fator de anuidade [1/ano</w:t>
      </w:r>
      <w:proofErr w:type="gramStart"/>
      <w:r w:rsidRPr="00E63A98">
        <w:rPr>
          <w:color w:val="000000" w:themeColor="text1"/>
          <w:lang w:val="pt-BR"/>
        </w:rPr>
        <w:t xml:space="preserv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Op</m:t>
            </m:r>
          </m:sub>
        </m:sSub>
      </m:oMath>
      <w:r w:rsidRPr="00E63A98">
        <w:rPr>
          <w:color w:val="000000" w:themeColor="text1"/>
          <w:lang w:val="pt-BR"/>
        </w:rPr>
        <w:t xml:space="preserve"> é</w:t>
      </w:r>
      <w:proofErr w:type="gramEnd"/>
      <w:r w:rsidRPr="00E63A98">
        <w:rPr>
          <w:color w:val="000000" w:themeColor="text1"/>
          <w:lang w:val="pt-BR"/>
        </w:rPr>
        <w:t xml:space="preserve"> o tempo diário de operação da planta [h/dia],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el</m:t>
            </m:r>
            <m:r>
              <w:rPr>
                <w:rFonts w:ascii="Cambria Math" w:hAnsi="Cambria Math"/>
                <w:color w:val="000000" w:themeColor="text1"/>
                <w:lang w:val="pt-BR"/>
              </w:rPr>
              <m:t xml:space="preserve"> </m:t>
            </m:r>
          </m:sub>
        </m:sSub>
      </m:oMath>
      <w:r w:rsidRPr="00E63A98">
        <w:rPr>
          <w:color w:val="000000" w:themeColor="text1"/>
          <w:lang w:val="pt-BR"/>
        </w:rPr>
        <w:t xml:space="preserve"> é a potência elétrica da planta [kW] e </w:t>
      </w:r>
      <w:r w:rsidRPr="00E63A98">
        <w:rPr>
          <w:rFonts w:ascii="Cambria Math" w:hAnsi="Cambria Math" w:cs="Cambria Math"/>
          <w:i/>
          <w:color w:val="000000" w:themeColor="text1"/>
          <w:lang w:val="pt-BR"/>
        </w:rPr>
        <w:t>𝐶</w:t>
      </w:r>
      <w:r w:rsidRPr="00E63A98">
        <w:rPr>
          <w:i/>
          <w:color w:val="000000" w:themeColor="text1"/>
          <w:vertAlign w:val="subscript"/>
          <w:lang w:val="pt-BR"/>
        </w:rPr>
        <w:t>O&amp;M</w:t>
      </w:r>
      <w:r w:rsidRPr="00E63A98">
        <w:rPr>
          <w:color w:val="000000" w:themeColor="text1"/>
          <w:lang w:val="pt-BR"/>
        </w:rPr>
        <w:t xml:space="preserve"> é o custo de operação da planta geradora [US$/kWh], assumidos como 3% do investimento na planta. Assim, </w:t>
      </w:r>
      <w:r w:rsidRPr="00E63A98">
        <w:rPr>
          <w:i/>
          <w:color w:val="000000" w:themeColor="text1"/>
          <w:lang w:val="pt-BR"/>
        </w:rPr>
        <w:t>C</w:t>
      </w:r>
      <w:r w:rsidRPr="00E63A98">
        <w:rPr>
          <w:i/>
          <w:color w:val="000000" w:themeColor="text1"/>
          <w:vertAlign w:val="subscript"/>
          <w:lang w:val="pt-BR"/>
        </w:rPr>
        <w:t>O&amp;M</w:t>
      </w:r>
      <w:r w:rsidRPr="00E63A98">
        <w:rPr>
          <w:color w:val="000000" w:themeColor="text1"/>
          <w:lang w:val="pt-BR"/>
        </w:rPr>
        <w:t xml:space="preserve"> pode ser calculado como a Equação [</w:t>
      </w:r>
      <w:r>
        <w:rPr>
          <w:color w:val="000000" w:themeColor="text1"/>
          <w:lang w:val="pt-BR"/>
        </w:rPr>
        <w:t>10</w:t>
      </w:r>
      <w:r w:rsidRPr="00E63A98">
        <w:rPr>
          <w:color w:val="000000" w:themeColor="text1"/>
          <w:lang w:val="pt-BR"/>
        </w:rPr>
        <w:t>]:</w:t>
      </w:r>
    </w:p>
    <w:p w14:paraId="1191A612" w14:textId="5F5EB5AC" w:rsidR="0029245C" w:rsidRDefault="00B9564F" w:rsidP="0029245C">
      <w:pPr>
        <w:pStyle w:val="Text"/>
        <w:rPr>
          <w:color w:val="000000" w:themeColor="text1"/>
          <w:lang w:val="pt-BR"/>
        </w:rPr>
      </w:pPr>
      <w:r>
        <w:rPr>
          <w:color w:val="000000" w:themeColor="text1"/>
          <w:lang w:val="pt-BR"/>
        </w:rPr>
        <w:t xml:space="preserve">   </w:t>
      </w:r>
    </w:p>
    <w:p w14:paraId="7D9F326F" w14:textId="77777777" w:rsidR="00B9564F" w:rsidRPr="00E63A98" w:rsidRDefault="00B9564F" w:rsidP="0029245C">
      <w:pPr>
        <w:pStyle w:val="Text"/>
        <w:rPr>
          <w:color w:val="000000" w:themeColor="text1"/>
          <w:lang w:val="pt-BR"/>
        </w:rPr>
      </w:pPr>
    </w:p>
    <w:tbl>
      <w:tblPr>
        <w:tblW w:w="48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369"/>
      </w:tblGrid>
      <w:tr w:rsidR="0029245C" w:rsidRPr="00D6550E" w14:paraId="0BBBEE1A" w14:textId="77777777" w:rsidTr="00B9564F">
        <w:trPr>
          <w:trHeight w:val="126"/>
        </w:trPr>
        <w:tc>
          <w:tcPr>
            <w:tcW w:w="4503" w:type="dxa"/>
            <w:shd w:val="clear" w:color="auto" w:fill="auto"/>
          </w:tcPr>
          <w:p w14:paraId="1B9CBC2F" w14:textId="57D81815" w:rsidR="0029245C" w:rsidRPr="00B9564F" w:rsidRDefault="0029245C" w:rsidP="0055406C">
            <w:pPr>
              <w:pStyle w:val="Text"/>
              <w:ind w:firstLine="0"/>
              <w:rPr>
                <w:i/>
                <w:color w:val="000000" w:themeColor="text1"/>
              </w:rPr>
            </w:pPr>
            <w:r w:rsidRPr="00E63A98">
              <w:rPr>
                <w:i/>
                <w:color w:val="000000" w:themeColor="text1"/>
              </w:rPr>
              <w:t>C</w:t>
            </w:r>
            <w:r w:rsidRPr="00E63A98">
              <w:rPr>
                <w:i/>
                <w:color w:val="000000" w:themeColor="text1"/>
                <w:vertAlign w:val="subscript"/>
              </w:rPr>
              <w:t xml:space="preserve">O&amp;M </w:t>
            </w:r>
            <w:r w:rsidRPr="00E63A98">
              <w:rPr>
                <w:i/>
                <w:color w:val="000000" w:themeColor="text1"/>
              </w:rPr>
              <w:t xml:space="preserve">=  (0,03× </w:t>
            </w:r>
            <w:proofErr w:type="spellStart"/>
            <w:r w:rsidRPr="00E63A98">
              <w:rPr>
                <w:i/>
                <w:color w:val="000000" w:themeColor="text1"/>
              </w:rPr>
              <w:t>I</w:t>
            </w:r>
            <w:r w:rsidRPr="00E63A98">
              <w:rPr>
                <w:i/>
                <w:color w:val="000000" w:themeColor="text1"/>
                <w:vertAlign w:val="subscript"/>
              </w:rPr>
              <w:t>pl</w:t>
            </w:r>
            <w:proofErr w:type="spellEnd"/>
            <w:r w:rsidRPr="00E63A98">
              <w:rPr>
                <w:i/>
                <w:color w:val="000000" w:themeColor="text1"/>
              </w:rPr>
              <w:t xml:space="preserve">)/( 365×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Op</m:t>
                  </m:r>
                </m:sub>
              </m:sSub>
            </m:oMath>
            <w:r w:rsidRPr="00E63A98">
              <w:rPr>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 </m:t>
                  </m:r>
                </m:sub>
              </m:sSub>
            </m:oMath>
            <w:r w:rsidRPr="00E63A98">
              <w:rPr>
                <w:i/>
                <w:color w:val="000000" w:themeColor="text1"/>
              </w:rPr>
              <w:t>)</w:t>
            </w:r>
            <w:r w:rsidR="00B9564F" w:rsidRPr="00B9564F">
              <w:rPr>
                <w:color w:val="000000" w:themeColor="text1"/>
              </w:rPr>
              <w:t xml:space="preserve"> </w:t>
            </w:r>
            <w:r w:rsidR="00B9564F">
              <w:rPr>
                <w:color w:val="000000" w:themeColor="text1"/>
              </w:rPr>
              <w:t xml:space="preserve">                  </w:t>
            </w:r>
            <w:r w:rsidR="00B9564F" w:rsidRPr="00B9564F">
              <w:rPr>
                <w:color w:val="000000" w:themeColor="text1"/>
              </w:rPr>
              <w:t>[10]</w:t>
            </w:r>
          </w:p>
        </w:tc>
        <w:tc>
          <w:tcPr>
            <w:tcW w:w="369" w:type="dxa"/>
            <w:shd w:val="clear" w:color="auto" w:fill="auto"/>
          </w:tcPr>
          <w:p w14:paraId="66EC2107" w14:textId="4D431F3C" w:rsidR="0029245C" w:rsidRPr="00B9564F" w:rsidRDefault="0029245C" w:rsidP="0055406C">
            <w:pPr>
              <w:pStyle w:val="Text"/>
              <w:ind w:firstLine="0"/>
              <w:jc w:val="right"/>
              <w:rPr>
                <w:color w:val="000000" w:themeColor="text1"/>
              </w:rPr>
            </w:pPr>
          </w:p>
        </w:tc>
      </w:tr>
    </w:tbl>
    <w:p w14:paraId="43AA05C8" w14:textId="77777777" w:rsidR="0029245C" w:rsidRPr="00B9564F" w:rsidRDefault="0029245C" w:rsidP="0029245C">
      <w:pPr>
        <w:pStyle w:val="Text"/>
        <w:rPr>
          <w:color w:val="000000" w:themeColor="text1"/>
        </w:rPr>
      </w:pPr>
    </w:p>
    <w:p w14:paraId="6CAC952E" w14:textId="5ECAACE8" w:rsidR="0029245C" w:rsidRPr="00E63A98" w:rsidRDefault="0029245C" w:rsidP="0029245C">
      <w:pPr>
        <w:pStyle w:val="Text"/>
        <w:ind w:firstLine="0"/>
        <w:rPr>
          <w:color w:val="000000" w:themeColor="text1"/>
          <w:lang w:val="pt-BR"/>
        </w:rPr>
      </w:pPr>
      <w:r w:rsidRPr="00E63A98">
        <w:rPr>
          <w:color w:val="000000" w:themeColor="text1"/>
          <w:lang w:val="pt-BR"/>
        </w:rPr>
        <w:t>O fator de anuidade é o valor de um fluxo de caixa que produz lucro em um dado período, o fator de anuidade é dado pelas equações [1</w:t>
      </w:r>
      <w:r>
        <w:rPr>
          <w:color w:val="000000" w:themeColor="text1"/>
          <w:lang w:val="pt-BR"/>
        </w:rPr>
        <w:t xml:space="preserve">1] </w:t>
      </w:r>
      <w:r w:rsidRPr="00E63A98">
        <w:rPr>
          <w:color w:val="000000" w:themeColor="text1"/>
          <w:lang w:val="pt-BR"/>
        </w:rPr>
        <w:t>e [1</w:t>
      </w:r>
      <w:r>
        <w:rPr>
          <w:color w:val="000000" w:themeColor="text1"/>
          <w:lang w:val="pt-BR"/>
        </w:rPr>
        <w:t>2</w:t>
      </w:r>
      <w:r w:rsidRPr="00E63A98">
        <w:rPr>
          <w:color w:val="000000" w:themeColor="text1"/>
          <w:lang w:val="pt-BR"/>
        </w:rPr>
        <w:t>]:</w:t>
      </w:r>
    </w:p>
    <w:p w14:paraId="33E40983" w14:textId="52DE515D" w:rsidR="0029245C" w:rsidRPr="00E63A98" w:rsidRDefault="0029245C" w:rsidP="0029245C">
      <w:pPr>
        <w:pStyle w:val="Text"/>
        <w:rPr>
          <w:color w:val="000000" w:themeColor="text1"/>
          <w:lang w:val="pt-B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07"/>
        <w:gridCol w:w="550"/>
      </w:tblGrid>
      <w:tr w:rsidR="0029245C" w:rsidRPr="00E63A98" w14:paraId="62B39CCB" w14:textId="77777777" w:rsidTr="0055406C">
        <w:trPr>
          <w:trHeight w:val="126"/>
        </w:trPr>
        <w:tc>
          <w:tcPr>
            <w:tcW w:w="4786" w:type="dxa"/>
            <w:shd w:val="clear" w:color="auto" w:fill="auto"/>
          </w:tcPr>
          <w:p w14:paraId="4E4DAD8C" w14:textId="77777777" w:rsidR="0029245C" w:rsidRPr="00E63A98" w:rsidRDefault="0029245C" w:rsidP="0055406C">
            <w:pPr>
              <w:pStyle w:val="Text"/>
              <w:rPr>
                <w:i/>
                <w:color w:val="000000" w:themeColor="text1"/>
                <w:lang w:val="pt-BR"/>
              </w:rPr>
            </w:pPr>
            <w:proofErr w:type="gramStart"/>
            <w:r w:rsidRPr="00E63A98">
              <w:rPr>
                <w:i/>
                <w:color w:val="000000" w:themeColor="text1"/>
                <w:lang w:val="pt-BR"/>
              </w:rPr>
              <w:t>f</w:t>
            </w:r>
            <w:proofErr w:type="gramEnd"/>
            <w:r w:rsidRPr="00E63A98">
              <w:rPr>
                <w:i/>
                <w:color w:val="000000" w:themeColor="text1"/>
                <w:lang w:val="pt-BR"/>
              </w:rPr>
              <w:t>=  (</w:t>
            </w:r>
            <w:proofErr w:type="spellStart"/>
            <w:r w:rsidRPr="00E63A98">
              <w:rPr>
                <w:i/>
                <w:color w:val="000000" w:themeColor="text1"/>
                <w:lang w:val="pt-BR"/>
              </w:rPr>
              <w:t>q</w:t>
            </w:r>
            <w:r w:rsidRPr="00E63A98">
              <w:rPr>
                <w:i/>
                <w:color w:val="000000" w:themeColor="text1"/>
                <w:vertAlign w:val="superscript"/>
                <w:lang w:val="pt-BR"/>
              </w:rPr>
              <w:t>k</w:t>
            </w:r>
            <w:proofErr w:type="spellEnd"/>
            <w:r w:rsidRPr="00E63A98">
              <w:rPr>
                <w:i/>
                <w:color w:val="000000" w:themeColor="text1"/>
                <w:vertAlign w:val="superscript"/>
                <w:lang w:val="pt-BR"/>
              </w:rPr>
              <w:t xml:space="preserve"> </w:t>
            </w:r>
            <w:r w:rsidRPr="00E63A98">
              <w:rPr>
                <w:i/>
                <w:color w:val="000000" w:themeColor="text1"/>
                <w:lang w:val="pt-BR"/>
              </w:rPr>
              <w:t>×(q-1)) / (q</w:t>
            </w:r>
            <w:r w:rsidRPr="00E63A98">
              <w:rPr>
                <w:i/>
                <w:color w:val="000000" w:themeColor="text1"/>
                <w:vertAlign w:val="superscript"/>
                <w:lang w:val="pt-BR"/>
              </w:rPr>
              <w:t>k-1</w:t>
            </w:r>
            <w:r w:rsidRPr="00E63A98">
              <w:rPr>
                <w:i/>
                <w:color w:val="000000" w:themeColor="text1"/>
                <w:lang w:val="pt-BR"/>
              </w:rPr>
              <w:t>)</w:t>
            </w:r>
          </w:p>
        </w:tc>
        <w:tc>
          <w:tcPr>
            <w:tcW w:w="394" w:type="dxa"/>
            <w:shd w:val="clear" w:color="auto" w:fill="auto"/>
          </w:tcPr>
          <w:p w14:paraId="1507AE3A" w14:textId="77777777" w:rsidR="0029245C" w:rsidRPr="00E63A98" w:rsidRDefault="0029245C" w:rsidP="0055406C">
            <w:pPr>
              <w:pStyle w:val="Text"/>
              <w:ind w:firstLine="0"/>
              <w:jc w:val="right"/>
              <w:rPr>
                <w:color w:val="000000" w:themeColor="text1"/>
                <w:lang w:val="pt-BR"/>
              </w:rPr>
            </w:pPr>
            <w:r w:rsidRPr="00E63A98">
              <w:rPr>
                <w:color w:val="000000" w:themeColor="text1"/>
                <w:lang w:val="pt-BR"/>
              </w:rPr>
              <w:t>[1</w:t>
            </w:r>
            <w:r>
              <w:rPr>
                <w:color w:val="000000" w:themeColor="text1"/>
                <w:lang w:val="pt-BR"/>
              </w:rPr>
              <w:t>1</w:t>
            </w:r>
            <w:r w:rsidRPr="00E63A98">
              <w:rPr>
                <w:color w:val="000000" w:themeColor="text1"/>
                <w:lang w:val="pt-BR"/>
              </w:rPr>
              <w:t>]</w:t>
            </w:r>
          </w:p>
        </w:tc>
      </w:tr>
    </w:tbl>
    <w:p w14:paraId="1F92FAA7" w14:textId="77777777" w:rsidR="0029245C" w:rsidRPr="00E63A98" w:rsidRDefault="0029245C" w:rsidP="0029245C">
      <w:pPr>
        <w:pStyle w:val="Text"/>
        <w:rPr>
          <w:color w:val="000000" w:themeColor="text1"/>
          <w:lang w:val="pt-B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07"/>
        <w:gridCol w:w="550"/>
      </w:tblGrid>
      <w:tr w:rsidR="0029245C" w:rsidRPr="00E63A98" w14:paraId="767D0C10" w14:textId="77777777" w:rsidTr="0055406C">
        <w:trPr>
          <w:trHeight w:val="126"/>
        </w:trPr>
        <w:tc>
          <w:tcPr>
            <w:tcW w:w="4786" w:type="dxa"/>
            <w:shd w:val="clear" w:color="auto" w:fill="auto"/>
          </w:tcPr>
          <w:p w14:paraId="64A6A984" w14:textId="77777777" w:rsidR="0029245C" w:rsidRPr="00E63A98" w:rsidRDefault="0029245C" w:rsidP="0055406C">
            <w:pPr>
              <w:pStyle w:val="Text"/>
              <w:rPr>
                <w:i/>
                <w:color w:val="000000" w:themeColor="text1"/>
                <w:lang w:val="pt-BR"/>
              </w:rPr>
            </w:pPr>
            <w:proofErr w:type="gramStart"/>
            <w:r w:rsidRPr="00E63A98">
              <w:rPr>
                <w:i/>
                <w:color w:val="000000" w:themeColor="text1"/>
                <w:lang w:val="pt-BR"/>
              </w:rPr>
              <w:t>q</w:t>
            </w:r>
            <w:proofErr w:type="gramEnd"/>
            <w:r w:rsidRPr="00E63A98">
              <w:rPr>
                <w:i/>
                <w:color w:val="000000" w:themeColor="text1"/>
                <w:lang w:val="pt-BR"/>
              </w:rPr>
              <w:t>=1+r/100</w:t>
            </w:r>
          </w:p>
        </w:tc>
        <w:tc>
          <w:tcPr>
            <w:tcW w:w="394" w:type="dxa"/>
            <w:shd w:val="clear" w:color="auto" w:fill="auto"/>
          </w:tcPr>
          <w:p w14:paraId="68C2066A" w14:textId="77777777" w:rsidR="0029245C" w:rsidRPr="00E63A98" w:rsidRDefault="0029245C" w:rsidP="0055406C">
            <w:pPr>
              <w:pStyle w:val="Text"/>
              <w:ind w:firstLine="0"/>
              <w:jc w:val="right"/>
              <w:rPr>
                <w:color w:val="000000" w:themeColor="text1"/>
                <w:lang w:val="pt-BR"/>
              </w:rPr>
            </w:pPr>
            <w:r w:rsidRPr="00E63A98">
              <w:rPr>
                <w:color w:val="000000" w:themeColor="text1"/>
                <w:lang w:val="pt-BR"/>
              </w:rPr>
              <w:t>[1</w:t>
            </w:r>
            <w:r>
              <w:rPr>
                <w:color w:val="000000" w:themeColor="text1"/>
                <w:lang w:val="pt-BR"/>
              </w:rPr>
              <w:t>2</w:t>
            </w:r>
            <w:r w:rsidRPr="00E63A98">
              <w:rPr>
                <w:color w:val="000000" w:themeColor="text1"/>
                <w:lang w:val="pt-BR"/>
              </w:rPr>
              <w:t>]</w:t>
            </w:r>
          </w:p>
        </w:tc>
      </w:tr>
    </w:tbl>
    <w:p w14:paraId="3644AFCF" w14:textId="77777777" w:rsidR="0029245C" w:rsidRPr="00E63A98" w:rsidRDefault="0029245C" w:rsidP="0029245C">
      <w:pPr>
        <w:pStyle w:val="Text"/>
        <w:rPr>
          <w:color w:val="000000" w:themeColor="text1"/>
          <w:lang w:val="pt-BR"/>
        </w:rPr>
      </w:pPr>
    </w:p>
    <w:p w14:paraId="0419648E" w14:textId="5334895A" w:rsidR="0029245C" w:rsidRDefault="0029245C" w:rsidP="0029245C">
      <w:pPr>
        <w:pStyle w:val="Text"/>
        <w:ind w:firstLine="0"/>
        <w:rPr>
          <w:color w:val="000000" w:themeColor="text1"/>
          <w:lang w:val="pt-BR"/>
        </w:rPr>
      </w:pPr>
      <w:r w:rsidRPr="00E63A98">
        <w:rPr>
          <w:color w:val="000000" w:themeColor="text1"/>
          <w:lang w:val="pt-BR"/>
        </w:rPr>
        <w:t xml:space="preserve">Onde </w:t>
      </w:r>
      <w:r w:rsidRPr="00E63A98">
        <w:rPr>
          <w:rFonts w:ascii="Cambria Math" w:hAnsi="Cambria Math" w:cs="Cambria Math"/>
          <w:color w:val="000000" w:themeColor="text1"/>
          <w:lang w:val="pt-BR"/>
        </w:rPr>
        <w:t>𝑓</w:t>
      </w:r>
      <w:r w:rsidRPr="00E63A98">
        <w:rPr>
          <w:color w:val="000000" w:themeColor="text1"/>
          <w:lang w:val="pt-BR"/>
        </w:rPr>
        <w:t xml:space="preserve"> é o fator de anuidade [1/ano], k é o número de anos [anos], e r é a taxa anual de interesse [%]. A taxa anual de interesse utilizada aqui é a taxa básica de juros SELIC de 13,25% </w:t>
      </w:r>
      <w:r w:rsidRPr="00E63A98">
        <w:rPr>
          <w:color w:val="000000" w:themeColor="text1"/>
          <w:lang w:val="pt-BR"/>
        </w:rPr>
        <w:fldChar w:fldCharType="begin" w:fldLock="1"/>
      </w:r>
      <w:r w:rsidRPr="00E63A98">
        <w:rPr>
          <w:color w:val="000000" w:themeColor="text1"/>
          <w:lang w:val="pt-BR"/>
        </w:rPr>
        <w:instrText>ADDIN CSL_CITATION {"citationItems":[{"id":"ITEM-1","itemData":{"URL":"https://www.bcb.gov.br/controleinflacao/taxaselic","accessed":{"date-parts":[["2022","7","20"]]},"id":"ITEM-1","issued":{"date-parts":[["0"]]},"title":"Taxa Selic","type":"webpage"},"uris":["http://www.mendeley.com/documents/?uuid=b13c5adb-4ede-32bf-8fe4-5e1d27c3a045"]}],"mendeley":{"formattedCitation":"[13]","plainTextFormattedCitation":"[13]","previouslyFormattedCitation":"[13]"},"properties":{"noteIndex":0},"schema":"https://github.com/citation-style-language/schema/raw/master/csl-citation.json"}</w:instrText>
      </w:r>
      <w:r w:rsidRPr="00E63A98">
        <w:rPr>
          <w:color w:val="000000" w:themeColor="text1"/>
          <w:lang w:val="pt-BR"/>
        </w:rPr>
        <w:fldChar w:fldCharType="separate"/>
      </w:r>
      <w:r w:rsidRPr="00E63A98">
        <w:rPr>
          <w:noProof/>
          <w:color w:val="000000" w:themeColor="text1"/>
          <w:lang w:val="pt-BR"/>
        </w:rPr>
        <w:t>[13]</w:t>
      </w:r>
      <w:r w:rsidRPr="00E63A98">
        <w:rPr>
          <w:color w:val="000000" w:themeColor="text1"/>
          <w:lang w:val="pt-BR"/>
        </w:rPr>
        <w:fldChar w:fldCharType="end"/>
      </w:r>
      <w:r w:rsidR="006A72CF">
        <w:rPr>
          <w:color w:val="000000" w:themeColor="text1"/>
          <w:lang w:val="pt-BR"/>
        </w:rPr>
        <w:t>, além de outros dois cenários estudados, considerando 4 e 8% ao ano</w:t>
      </w:r>
      <w:r w:rsidRPr="00E63A98">
        <w:rPr>
          <w:color w:val="000000" w:themeColor="text1"/>
          <w:lang w:val="pt-BR"/>
        </w:rPr>
        <w:t>.</w:t>
      </w:r>
    </w:p>
    <w:p w14:paraId="14F40469" w14:textId="77777777" w:rsidR="0029245C" w:rsidRDefault="0029245C" w:rsidP="00B97AC9">
      <w:pPr>
        <w:pStyle w:val="Ttulo1"/>
        <w:keepNext/>
        <w:keepLines/>
        <w:numPr>
          <w:ilvl w:val="0"/>
          <w:numId w:val="26"/>
        </w:numPr>
        <w:spacing w:after="240" w:line="259" w:lineRule="auto"/>
        <w:contextualSpacing w:val="0"/>
        <w:jc w:val="left"/>
        <w:rPr>
          <w:color w:val="000000" w:themeColor="text1"/>
        </w:rPr>
      </w:pPr>
      <w:r w:rsidRPr="00E63A98">
        <w:rPr>
          <w:color w:val="000000" w:themeColor="text1"/>
        </w:rPr>
        <w:t xml:space="preserve">Resultados e </w:t>
      </w:r>
      <w:proofErr w:type="spellStart"/>
      <w:r w:rsidRPr="00E63A98">
        <w:rPr>
          <w:color w:val="000000" w:themeColor="text1"/>
        </w:rPr>
        <w:t>discussão</w:t>
      </w:r>
      <w:proofErr w:type="spellEnd"/>
    </w:p>
    <w:p w14:paraId="43250071" w14:textId="77777777" w:rsidR="0029245C" w:rsidRDefault="0029245C" w:rsidP="00B97AC9">
      <w:pPr>
        <w:pStyle w:val="Ttulo1"/>
        <w:keepNext/>
        <w:keepLines/>
        <w:numPr>
          <w:ilvl w:val="1"/>
          <w:numId w:val="26"/>
        </w:numPr>
        <w:spacing w:after="240" w:line="259" w:lineRule="auto"/>
        <w:ind w:left="0" w:firstLine="0"/>
        <w:contextualSpacing w:val="0"/>
        <w:jc w:val="left"/>
        <w:rPr>
          <w:color w:val="000000" w:themeColor="text1"/>
        </w:rPr>
      </w:pPr>
      <w:proofErr w:type="spellStart"/>
      <w:r w:rsidRPr="00E63A98">
        <w:rPr>
          <w:color w:val="000000" w:themeColor="text1"/>
        </w:rPr>
        <w:t>Análise</w:t>
      </w:r>
      <w:proofErr w:type="spellEnd"/>
      <w:r w:rsidRPr="00E63A98">
        <w:rPr>
          <w:color w:val="000000" w:themeColor="text1"/>
        </w:rPr>
        <w:t xml:space="preserve"> técnica</w:t>
      </w:r>
    </w:p>
    <w:p w14:paraId="6B950F4A" w14:textId="77777777" w:rsidR="0029245C" w:rsidRDefault="0029245C" w:rsidP="00B97AC9">
      <w:pPr>
        <w:pStyle w:val="Ttulo1"/>
        <w:keepNext/>
        <w:keepLines/>
        <w:numPr>
          <w:ilvl w:val="2"/>
          <w:numId w:val="26"/>
        </w:numPr>
        <w:spacing w:after="240" w:line="259" w:lineRule="auto"/>
        <w:ind w:left="0" w:firstLine="0"/>
        <w:contextualSpacing w:val="0"/>
        <w:jc w:val="left"/>
        <w:rPr>
          <w:color w:val="000000" w:themeColor="text1"/>
        </w:rPr>
      </w:pPr>
      <w:proofErr w:type="spellStart"/>
      <w:r w:rsidRPr="00E63A98">
        <w:rPr>
          <w:color w:val="000000" w:themeColor="text1"/>
        </w:rPr>
        <w:t>Produção</w:t>
      </w:r>
      <w:proofErr w:type="spellEnd"/>
      <w:r w:rsidRPr="00E63A98">
        <w:rPr>
          <w:color w:val="000000" w:themeColor="text1"/>
        </w:rPr>
        <w:t xml:space="preserve"> de biogás</w:t>
      </w:r>
    </w:p>
    <w:p w14:paraId="37B8A962" w14:textId="3AEED8CD" w:rsidR="0029245C" w:rsidRDefault="0029245C" w:rsidP="0029245C">
      <w:pPr>
        <w:rPr>
          <w:rFonts w:cs="Times New Roman"/>
          <w:color w:val="000000" w:themeColor="text1"/>
          <w:lang w:val="pt-BR"/>
        </w:rPr>
      </w:pPr>
      <w:r w:rsidRPr="0029245C">
        <w:rPr>
          <w:rFonts w:cs="Times New Roman"/>
          <w:color w:val="000000" w:themeColor="text1"/>
          <w:lang w:val="pt-BR"/>
        </w:rPr>
        <w:t xml:space="preserve">Com a equação [1] se chegou a uma quantidade de 47,3 </w:t>
      </w:r>
      <w:proofErr w:type="spellStart"/>
      <w:r w:rsidRPr="0029245C">
        <w:rPr>
          <w:rFonts w:cs="Times New Roman"/>
          <w:color w:val="000000" w:themeColor="text1"/>
          <w:lang w:val="pt-BR"/>
        </w:rPr>
        <w:t>ton</w:t>
      </w:r>
      <w:proofErr w:type="spellEnd"/>
      <w:r w:rsidRPr="0029245C">
        <w:rPr>
          <w:rFonts w:cs="Times New Roman"/>
          <w:color w:val="000000" w:themeColor="text1"/>
          <w:lang w:val="pt-BR"/>
        </w:rPr>
        <w:t xml:space="preserve">/dia de FORSU, aproveitável para o processo de DA. Considerando </w:t>
      </w:r>
      <w:proofErr w:type="gramStart"/>
      <w:r w:rsidRPr="0029245C">
        <w:rPr>
          <w:rFonts w:cs="Times New Roman"/>
          <w:color w:val="000000" w:themeColor="text1"/>
          <w:lang w:val="pt-BR"/>
        </w:rPr>
        <w:t xml:space="preserve">uma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SV</m:t>
            </m:r>
          </m:sub>
        </m:sSub>
      </m:oMath>
      <w:r w:rsidRPr="0029245C">
        <w:rPr>
          <w:rFonts w:cs="Times New Roman"/>
          <w:color w:val="000000" w:themeColor="text1"/>
          <w:lang w:val="pt-BR"/>
        </w:rPr>
        <w:t xml:space="preserve"> de</w:t>
      </w:r>
      <w:proofErr w:type="gramEnd"/>
      <w:r w:rsidRPr="0029245C">
        <w:rPr>
          <w:rFonts w:cs="Times New Roman"/>
          <w:color w:val="000000" w:themeColor="text1"/>
          <w:lang w:val="pt-BR"/>
        </w:rPr>
        <w:t xml:space="preserve"> 18%, chega-se a uma quantidade de 8,51 t/dia de matéria volátil, capaz de ser convertida em biogás. Por fim, a equação [3], tomando-se uma taxa de conversão de 367 m</w:t>
      </w:r>
      <w:r w:rsidRPr="0029245C">
        <w:rPr>
          <w:rFonts w:cs="Times New Roman"/>
          <w:color w:val="000000" w:themeColor="text1"/>
          <w:vertAlign w:val="superscript"/>
          <w:lang w:val="pt-BR"/>
        </w:rPr>
        <w:t>3</w:t>
      </w:r>
      <w:r w:rsidRPr="0029245C">
        <w:rPr>
          <w:rFonts w:cs="Times New Roman"/>
          <w:color w:val="000000" w:themeColor="text1"/>
          <w:lang w:val="pt-BR"/>
        </w:rPr>
        <w:t>de biogás por tonelada de SV, chega-se a um potencial de 3.125 Nm</w:t>
      </w:r>
      <w:r w:rsidRPr="0029245C">
        <w:rPr>
          <w:rFonts w:cs="Times New Roman"/>
          <w:color w:val="000000" w:themeColor="text1"/>
          <w:vertAlign w:val="superscript"/>
          <w:lang w:val="pt-BR"/>
        </w:rPr>
        <w:t>3</w:t>
      </w:r>
      <w:r w:rsidRPr="0029245C">
        <w:rPr>
          <w:rFonts w:cs="Times New Roman"/>
          <w:color w:val="000000" w:themeColor="text1"/>
          <w:lang w:val="pt-BR"/>
        </w:rPr>
        <w:t xml:space="preserve">/dia de biogás. </w:t>
      </w:r>
    </w:p>
    <w:p w14:paraId="2A16E9F4" w14:textId="77777777" w:rsidR="0029245C" w:rsidRPr="0029245C" w:rsidRDefault="0029245C" w:rsidP="0029245C">
      <w:pPr>
        <w:rPr>
          <w:rFonts w:cs="Times New Roman"/>
          <w:color w:val="000000" w:themeColor="text1"/>
          <w:lang w:val="pt-BR"/>
        </w:rPr>
      </w:pPr>
    </w:p>
    <w:p w14:paraId="4246E539" w14:textId="1F79D430" w:rsidR="0029245C" w:rsidRDefault="0029245C" w:rsidP="0029245C">
      <w:pPr>
        <w:rPr>
          <w:rFonts w:cs="Times New Roman"/>
          <w:color w:val="000000" w:themeColor="text1"/>
          <w:lang w:val="pt-BR"/>
        </w:rPr>
      </w:pPr>
      <w:r w:rsidRPr="0029245C">
        <w:rPr>
          <w:rFonts w:cs="Times New Roman"/>
          <w:color w:val="000000" w:themeColor="text1"/>
          <w:lang w:val="pt-BR"/>
        </w:rPr>
        <w:t>Com a composição volumétrica assumida de 65% de CH</w:t>
      </w:r>
      <w:r w:rsidRPr="0029245C">
        <w:rPr>
          <w:rFonts w:cs="Times New Roman"/>
          <w:color w:val="000000" w:themeColor="text1"/>
          <w:vertAlign w:val="subscript"/>
          <w:lang w:val="pt-BR"/>
        </w:rPr>
        <w:t>4</w:t>
      </w:r>
      <w:r w:rsidRPr="0029245C">
        <w:rPr>
          <w:rFonts w:cs="Times New Roman"/>
          <w:color w:val="000000" w:themeColor="text1"/>
          <w:lang w:val="pt-BR"/>
        </w:rPr>
        <w:t xml:space="preserve"> e 35% de CO</w:t>
      </w:r>
      <w:r w:rsidRPr="0029245C">
        <w:rPr>
          <w:rFonts w:cs="Times New Roman"/>
          <w:color w:val="000000" w:themeColor="text1"/>
          <w:vertAlign w:val="subscript"/>
          <w:lang w:val="pt-BR"/>
        </w:rPr>
        <w:t>2</w:t>
      </w:r>
      <w:r w:rsidRPr="0029245C">
        <w:rPr>
          <w:rFonts w:cs="Times New Roman"/>
          <w:color w:val="000000" w:themeColor="text1"/>
          <w:lang w:val="pt-BR"/>
        </w:rPr>
        <w:t>, chega-se a à descrição do biogás gerado, com seu PCI (</w:t>
      </w:r>
      <w:proofErr w:type="spellStart"/>
      <w:r w:rsidRPr="0029245C">
        <w:rPr>
          <w:rFonts w:cs="Times New Roman"/>
          <w:color w:val="000000" w:themeColor="text1"/>
          <w:lang w:val="pt-BR"/>
        </w:rPr>
        <w:t>kJ</w:t>
      </w:r>
      <w:proofErr w:type="spellEnd"/>
      <w:r w:rsidRPr="0029245C">
        <w:rPr>
          <w:rFonts w:cs="Times New Roman"/>
          <w:color w:val="000000" w:themeColor="text1"/>
          <w:lang w:val="pt-BR"/>
        </w:rPr>
        <w:t>/kg) e densidade (kg/m3), conforme Tabela 1:</w:t>
      </w:r>
    </w:p>
    <w:p w14:paraId="1BF97414" w14:textId="45625028" w:rsidR="0029245C" w:rsidRPr="0051388C" w:rsidRDefault="00C263F7" w:rsidP="0029245C">
      <w:pPr>
        <w:rPr>
          <w:lang w:val="pt-BR" w:eastAsia="es-CO"/>
        </w:rPr>
      </w:pPr>
      <w:r>
        <w:rPr>
          <w:lang w:val="pt-BR" w:eastAsia="es-CO"/>
        </w:rPr>
        <w:t xml:space="preserve">                                                                                                                                        </w:t>
      </w:r>
    </w:p>
    <w:p w14:paraId="4DC6BCB1" w14:textId="015728AF" w:rsidR="0029245C" w:rsidRDefault="0029245C" w:rsidP="0029245C">
      <w:pPr>
        <w:rPr>
          <w:rFonts w:cs="Times New Roman"/>
          <w:color w:val="000000" w:themeColor="text1"/>
          <w:lang w:val="pt-BR"/>
        </w:rPr>
      </w:pPr>
      <w:r w:rsidRPr="0029245C">
        <w:rPr>
          <w:rFonts w:cs="Times New Roman"/>
          <w:color w:val="000000" w:themeColor="text1"/>
          <w:lang w:val="pt-BR"/>
        </w:rPr>
        <w:t xml:space="preserve">Com a densidade do biogás dada na Tabela 1, chega-se, portanto, a uma produção diária de 3.603 kg/dia de biogás. </w:t>
      </w:r>
    </w:p>
    <w:p w14:paraId="5C41A40C" w14:textId="77777777" w:rsidR="0029245C" w:rsidRDefault="0029245C" w:rsidP="0029245C">
      <w:pPr>
        <w:pStyle w:val="Ttulo1"/>
        <w:keepNext/>
        <w:keepLines/>
        <w:numPr>
          <w:ilvl w:val="2"/>
          <w:numId w:val="26"/>
        </w:numPr>
        <w:spacing w:line="259" w:lineRule="auto"/>
        <w:ind w:left="0" w:firstLine="0"/>
        <w:contextualSpacing w:val="0"/>
        <w:jc w:val="left"/>
        <w:rPr>
          <w:color w:val="000000" w:themeColor="text1"/>
        </w:rPr>
      </w:pPr>
      <w:proofErr w:type="spellStart"/>
      <w:r w:rsidRPr="00E63A98">
        <w:rPr>
          <w:color w:val="000000" w:themeColor="text1"/>
        </w:rPr>
        <w:t>Geração</w:t>
      </w:r>
      <w:proofErr w:type="spellEnd"/>
      <w:r w:rsidRPr="00E63A98">
        <w:rPr>
          <w:color w:val="000000" w:themeColor="text1"/>
        </w:rPr>
        <w:t xml:space="preserve"> de </w:t>
      </w:r>
      <w:proofErr w:type="spellStart"/>
      <w:r w:rsidRPr="00E63A98">
        <w:rPr>
          <w:color w:val="000000" w:themeColor="text1"/>
        </w:rPr>
        <w:t>bioeletricidade</w:t>
      </w:r>
      <w:proofErr w:type="spellEnd"/>
    </w:p>
    <w:p w14:paraId="5D3F40B7" w14:textId="77777777" w:rsidR="0029245C" w:rsidRPr="00E13DE6" w:rsidRDefault="0029245C" w:rsidP="0029245C"/>
    <w:p w14:paraId="5EA29CF2" w14:textId="7681CCCA" w:rsidR="0029245C" w:rsidRDefault="00B9564F" w:rsidP="0029245C">
      <w:pPr>
        <w:rPr>
          <w:rFonts w:cs="Times New Roman"/>
          <w:color w:val="000000" w:themeColor="text1"/>
          <w:lang w:val="pt-BR"/>
        </w:rPr>
      </w:pPr>
      <w:r w:rsidRPr="0051388C">
        <w:rPr>
          <w:noProof/>
          <w:color w:val="000000" w:themeColor="text1"/>
          <w:lang w:val="pt-BR" w:eastAsia="pt-BR"/>
        </w:rPr>
        <mc:AlternateContent>
          <mc:Choice Requires="wps">
            <w:drawing>
              <wp:anchor distT="0" distB="0" distL="114300" distR="114300" simplePos="0" relativeHeight="251663360" behindDoc="0" locked="0" layoutInCell="1" allowOverlap="1" wp14:anchorId="2433193C" wp14:editId="0C12ECF2">
                <wp:simplePos x="0" y="0"/>
                <wp:positionH relativeFrom="column">
                  <wp:posOffset>-2679700</wp:posOffset>
                </wp:positionH>
                <wp:positionV relativeFrom="paragraph">
                  <wp:posOffset>1640205</wp:posOffset>
                </wp:positionV>
                <wp:extent cx="4222115" cy="1403985"/>
                <wp:effectExtent l="0" t="0" r="6985" b="0"/>
                <wp:wrapTopAndBottom/>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403985"/>
                        </a:xfrm>
                        <a:prstGeom prst="rect">
                          <a:avLst/>
                        </a:prstGeom>
                        <a:solidFill>
                          <a:srgbClr val="FFFFFF"/>
                        </a:solidFill>
                        <a:ln w="9525">
                          <a:noFill/>
                          <a:miter lim="800000"/>
                          <a:headEnd/>
                          <a:tailEnd/>
                        </a:ln>
                      </wps:spPr>
                      <wps:txbx>
                        <w:txbxContent>
                          <w:p w14:paraId="5D64FF9F" w14:textId="02F0F880" w:rsidR="0055406C" w:rsidRPr="0029245C" w:rsidRDefault="0055406C" w:rsidP="0051388C">
                            <w:pPr>
                              <w:rPr>
                                <w:rFonts w:cs="Times New Roman"/>
                                <w:color w:val="000000" w:themeColor="text1"/>
                                <w:lang w:val="pt-BR"/>
                              </w:rPr>
                            </w:pPr>
                            <w:r w:rsidRPr="0029245C">
                              <w:rPr>
                                <w:rFonts w:cs="Times New Roman"/>
                                <w:color w:val="000000" w:themeColor="text1"/>
                                <w:lang w:val="pt-BR"/>
                              </w:rPr>
                              <w:t>Tabela 1: Composição, densidade e PCI do biogás e seus componentes.</w:t>
                            </w:r>
                          </w:p>
                          <w:tbl>
                            <w:tblPr>
                              <w:tblW w:w="6252" w:type="dxa"/>
                              <w:tblInd w:w="55" w:type="dxa"/>
                              <w:tblCellMar>
                                <w:left w:w="70" w:type="dxa"/>
                                <w:right w:w="70" w:type="dxa"/>
                              </w:tblCellMar>
                              <w:tblLook w:val="04A0" w:firstRow="1" w:lastRow="0" w:firstColumn="1" w:lastColumn="0" w:noHBand="0" w:noVBand="1"/>
                            </w:tblPr>
                            <w:tblGrid>
                              <w:gridCol w:w="1324"/>
                              <w:gridCol w:w="851"/>
                              <w:gridCol w:w="1384"/>
                              <w:gridCol w:w="799"/>
                              <w:gridCol w:w="760"/>
                              <w:gridCol w:w="1134"/>
                            </w:tblGrid>
                            <w:tr w:rsidR="0055406C" w:rsidRPr="00E63A98" w14:paraId="1D91F174" w14:textId="77777777" w:rsidTr="0055406C">
                              <w:trPr>
                                <w:trHeight w:val="300"/>
                              </w:trPr>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6AF650F"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Componente</w:t>
                                  </w:r>
                                </w:p>
                              </w:tc>
                              <w:tc>
                                <w:tcPr>
                                  <w:tcW w:w="851" w:type="dxa"/>
                                  <w:tcBorders>
                                    <w:top w:val="single" w:sz="4" w:space="0" w:color="auto"/>
                                    <w:left w:val="nil"/>
                                    <w:bottom w:val="single" w:sz="4" w:space="0" w:color="auto"/>
                                    <w:right w:val="single" w:sz="4" w:space="0" w:color="auto"/>
                                  </w:tcBorders>
                                  <w:shd w:val="clear" w:color="auto" w:fill="E7E6E6" w:themeFill="background2"/>
                                  <w:noWrap/>
                                  <w:hideMark/>
                                </w:tcPr>
                                <w:p w14:paraId="11C4B250"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Volume</w:t>
                                  </w:r>
                                  <w:proofErr w:type="spellEnd"/>
                                  <w:r w:rsidRPr="00E63A98">
                                    <w:rPr>
                                      <w:rFonts w:eastAsia="Times New Roman" w:cs="Times New Roman"/>
                                      <w:b/>
                                      <w:bCs/>
                                      <w:color w:val="000000" w:themeColor="text1"/>
                                      <w:lang w:eastAsia="pt-BR"/>
                                    </w:rPr>
                                    <w:t xml:space="preserve"> (%)</w:t>
                                  </w:r>
                                </w:p>
                              </w:tc>
                              <w:tc>
                                <w:tcPr>
                                  <w:tcW w:w="1384" w:type="dxa"/>
                                  <w:tcBorders>
                                    <w:top w:val="single" w:sz="4" w:space="0" w:color="auto"/>
                                    <w:left w:val="nil"/>
                                    <w:bottom w:val="single" w:sz="4" w:space="0" w:color="auto"/>
                                    <w:right w:val="single" w:sz="4" w:space="0" w:color="auto"/>
                                  </w:tcBorders>
                                  <w:shd w:val="clear" w:color="auto" w:fill="E7E6E6" w:themeFill="background2"/>
                                  <w:noWrap/>
                                  <w:hideMark/>
                                </w:tcPr>
                                <w:p w14:paraId="41F973F0"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Massa</w:t>
                                  </w:r>
                                  <w:proofErr w:type="spellEnd"/>
                                  <w:r w:rsidRPr="00E63A98">
                                    <w:rPr>
                                      <w:rFonts w:eastAsia="Times New Roman" w:cs="Times New Roman"/>
                                      <w:b/>
                                      <w:bCs/>
                                      <w:color w:val="000000" w:themeColor="text1"/>
                                      <w:lang w:eastAsia="pt-BR"/>
                                    </w:rPr>
                                    <w:t xml:space="preserve"> Molar (g/mol) </w:t>
                                  </w:r>
                                </w:p>
                              </w:tc>
                              <w:tc>
                                <w:tcPr>
                                  <w:tcW w:w="799" w:type="dxa"/>
                                  <w:tcBorders>
                                    <w:top w:val="single" w:sz="4" w:space="0" w:color="auto"/>
                                    <w:left w:val="nil"/>
                                    <w:bottom w:val="single" w:sz="4" w:space="0" w:color="auto"/>
                                    <w:right w:val="single" w:sz="4" w:space="0" w:color="auto"/>
                                  </w:tcBorders>
                                  <w:shd w:val="clear" w:color="auto" w:fill="E7E6E6" w:themeFill="background2"/>
                                  <w:noWrap/>
                                  <w:hideMark/>
                                </w:tcPr>
                                <w:p w14:paraId="19E1A5F7"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Massa</w:t>
                                  </w:r>
                                  <w:proofErr w:type="spellEnd"/>
                                  <w:r w:rsidRPr="00E63A98">
                                    <w:rPr>
                                      <w:rFonts w:eastAsia="Times New Roman" w:cs="Times New Roman"/>
                                      <w:b/>
                                      <w:bCs/>
                                      <w:color w:val="000000" w:themeColor="text1"/>
                                      <w:lang w:eastAsia="pt-BR"/>
                                    </w:rPr>
                                    <w:t xml:space="preserve"> (%)</w:t>
                                  </w:r>
                                </w:p>
                              </w:tc>
                              <w:tc>
                                <w:tcPr>
                                  <w:tcW w:w="760" w:type="dxa"/>
                                  <w:tcBorders>
                                    <w:top w:val="single" w:sz="4" w:space="0" w:color="auto"/>
                                    <w:left w:val="nil"/>
                                    <w:bottom w:val="single" w:sz="4" w:space="0" w:color="auto"/>
                                    <w:right w:val="single" w:sz="4" w:space="0" w:color="auto"/>
                                  </w:tcBorders>
                                  <w:shd w:val="clear" w:color="auto" w:fill="E7E6E6" w:themeFill="background2"/>
                                  <w:noWrap/>
                                  <w:hideMark/>
                                </w:tcPr>
                                <w:p w14:paraId="00A8BE2A"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PCI (kJ/kg)</w:t>
                                  </w:r>
                                </w:p>
                              </w:tc>
                              <w:tc>
                                <w:tcPr>
                                  <w:tcW w:w="1134" w:type="dxa"/>
                                  <w:tcBorders>
                                    <w:top w:val="single" w:sz="4" w:space="0" w:color="auto"/>
                                    <w:left w:val="nil"/>
                                    <w:bottom w:val="single" w:sz="4" w:space="0" w:color="auto"/>
                                    <w:right w:val="single" w:sz="4" w:space="0" w:color="auto"/>
                                  </w:tcBorders>
                                  <w:shd w:val="clear" w:color="auto" w:fill="E7E6E6" w:themeFill="background2"/>
                                  <w:noWrap/>
                                  <w:hideMark/>
                                </w:tcPr>
                                <w:p w14:paraId="64940508"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Densidade</w:t>
                                  </w:r>
                                  <w:proofErr w:type="spellEnd"/>
                                  <w:r w:rsidRPr="00E63A98">
                                    <w:rPr>
                                      <w:rFonts w:eastAsia="Times New Roman" w:cs="Times New Roman"/>
                                      <w:b/>
                                      <w:bCs/>
                                      <w:color w:val="000000" w:themeColor="text1"/>
                                      <w:lang w:eastAsia="pt-BR"/>
                                    </w:rPr>
                                    <w:t xml:space="preserve"> (kg/m3)</w:t>
                                  </w:r>
                                </w:p>
                              </w:tc>
                            </w:tr>
                            <w:tr w:rsidR="0055406C" w:rsidRPr="00E63A98" w14:paraId="61DAFBBB" w14:textId="77777777" w:rsidTr="0055406C">
                              <w:trPr>
                                <w:trHeight w:val="300"/>
                              </w:trPr>
                              <w:tc>
                                <w:tcPr>
                                  <w:tcW w:w="1324" w:type="dxa"/>
                                  <w:tcBorders>
                                    <w:top w:val="nil"/>
                                    <w:left w:val="single" w:sz="4" w:space="0" w:color="auto"/>
                                    <w:bottom w:val="single" w:sz="4" w:space="0" w:color="auto"/>
                                    <w:right w:val="single" w:sz="4" w:space="0" w:color="auto"/>
                                  </w:tcBorders>
                                  <w:shd w:val="clear" w:color="auto" w:fill="auto"/>
                                  <w:noWrap/>
                                  <w:hideMark/>
                                </w:tcPr>
                                <w:p w14:paraId="02E8C384"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CH</w:t>
                                  </w:r>
                                  <w:r w:rsidRPr="00E63A98">
                                    <w:rPr>
                                      <w:rFonts w:eastAsia="Times New Roman" w:cs="Times New Roman"/>
                                      <w:b/>
                                      <w:bCs/>
                                      <w:color w:val="000000" w:themeColor="text1"/>
                                      <w:vertAlign w:val="subscript"/>
                                      <w:lang w:eastAsia="pt-BR"/>
                                    </w:rPr>
                                    <w:t>4</w:t>
                                  </w:r>
                                </w:p>
                              </w:tc>
                              <w:tc>
                                <w:tcPr>
                                  <w:tcW w:w="851" w:type="dxa"/>
                                  <w:tcBorders>
                                    <w:top w:val="nil"/>
                                    <w:left w:val="nil"/>
                                    <w:bottom w:val="single" w:sz="4" w:space="0" w:color="auto"/>
                                    <w:right w:val="single" w:sz="4" w:space="0" w:color="auto"/>
                                  </w:tcBorders>
                                  <w:shd w:val="clear" w:color="auto" w:fill="auto"/>
                                  <w:noWrap/>
                                  <w:hideMark/>
                                </w:tcPr>
                                <w:p w14:paraId="36A1404C"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65%</w:t>
                                  </w:r>
                                </w:p>
                              </w:tc>
                              <w:tc>
                                <w:tcPr>
                                  <w:tcW w:w="1384" w:type="dxa"/>
                                  <w:tcBorders>
                                    <w:top w:val="nil"/>
                                    <w:left w:val="nil"/>
                                    <w:bottom w:val="single" w:sz="4" w:space="0" w:color="auto"/>
                                    <w:right w:val="single" w:sz="4" w:space="0" w:color="auto"/>
                                  </w:tcBorders>
                                  <w:shd w:val="clear" w:color="auto" w:fill="auto"/>
                                  <w:noWrap/>
                                  <w:hideMark/>
                                </w:tcPr>
                                <w:p w14:paraId="632C76EE"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16,04</w:t>
                                  </w:r>
                                </w:p>
                              </w:tc>
                              <w:tc>
                                <w:tcPr>
                                  <w:tcW w:w="799" w:type="dxa"/>
                                  <w:tcBorders>
                                    <w:top w:val="nil"/>
                                    <w:left w:val="nil"/>
                                    <w:bottom w:val="single" w:sz="4" w:space="0" w:color="auto"/>
                                    <w:right w:val="single" w:sz="4" w:space="0" w:color="auto"/>
                                  </w:tcBorders>
                                  <w:shd w:val="clear" w:color="auto" w:fill="auto"/>
                                  <w:noWrap/>
                                  <w:hideMark/>
                                </w:tcPr>
                                <w:p w14:paraId="3BDB78B4"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40,4%</w:t>
                                  </w:r>
                                </w:p>
                              </w:tc>
                              <w:tc>
                                <w:tcPr>
                                  <w:tcW w:w="760" w:type="dxa"/>
                                  <w:tcBorders>
                                    <w:top w:val="nil"/>
                                    <w:left w:val="nil"/>
                                    <w:bottom w:val="single" w:sz="4" w:space="0" w:color="auto"/>
                                    <w:right w:val="single" w:sz="4" w:space="0" w:color="auto"/>
                                  </w:tcBorders>
                                  <w:shd w:val="clear" w:color="auto" w:fill="auto"/>
                                  <w:noWrap/>
                                  <w:hideMark/>
                                </w:tcPr>
                                <w:p w14:paraId="6DB26EF9"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 xml:space="preserve">50.023 </w:t>
                                  </w:r>
                                </w:p>
                              </w:tc>
                              <w:tc>
                                <w:tcPr>
                                  <w:tcW w:w="1134" w:type="dxa"/>
                                  <w:tcBorders>
                                    <w:top w:val="nil"/>
                                    <w:left w:val="nil"/>
                                    <w:bottom w:val="single" w:sz="4" w:space="0" w:color="auto"/>
                                    <w:right w:val="single" w:sz="4" w:space="0" w:color="auto"/>
                                  </w:tcBorders>
                                  <w:shd w:val="clear" w:color="auto" w:fill="auto"/>
                                  <w:noWrap/>
                                </w:tcPr>
                                <w:p w14:paraId="715841A3"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716</w:t>
                                  </w:r>
                                </w:p>
                              </w:tc>
                            </w:tr>
                            <w:tr w:rsidR="0055406C" w:rsidRPr="00E63A98" w14:paraId="54B36869" w14:textId="77777777" w:rsidTr="0055406C">
                              <w:trPr>
                                <w:trHeight w:val="300"/>
                              </w:trPr>
                              <w:tc>
                                <w:tcPr>
                                  <w:tcW w:w="1324" w:type="dxa"/>
                                  <w:tcBorders>
                                    <w:top w:val="nil"/>
                                    <w:left w:val="single" w:sz="4" w:space="0" w:color="auto"/>
                                    <w:bottom w:val="single" w:sz="4" w:space="0" w:color="auto"/>
                                    <w:right w:val="single" w:sz="4" w:space="0" w:color="auto"/>
                                  </w:tcBorders>
                                  <w:shd w:val="clear" w:color="auto" w:fill="auto"/>
                                  <w:noWrap/>
                                  <w:hideMark/>
                                </w:tcPr>
                                <w:p w14:paraId="28F815F8"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CO</w:t>
                                  </w:r>
                                  <w:r w:rsidRPr="00E63A98">
                                    <w:rPr>
                                      <w:rFonts w:eastAsia="Times New Roman" w:cs="Times New Roman"/>
                                      <w:b/>
                                      <w:bCs/>
                                      <w:color w:val="000000" w:themeColor="text1"/>
                                      <w:vertAlign w:val="subscript"/>
                                      <w:lang w:eastAsia="pt-BR"/>
                                    </w:rPr>
                                    <w:t>2</w:t>
                                  </w:r>
                                </w:p>
                              </w:tc>
                              <w:tc>
                                <w:tcPr>
                                  <w:tcW w:w="851" w:type="dxa"/>
                                  <w:tcBorders>
                                    <w:top w:val="nil"/>
                                    <w:left w:val="nil"/>
                                    <w:bottom w:val="single" w:sz="4" w:space="0" w:color="auto"/>
                                    <w:right w:val="single" w:sz="4" w:space="0" w:color="auto"/>
                                  </w:tcBorders>
                                  <w:shd w:val="clear" w:color="auto" w:fill="auto"/>
                                  <w:noWrap/>
                                  <w:hideMark/>
                                </w:tcPr>
                                <w:p w14:paraId="506F8730"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35%</w:t>
                                  </w:r>
                                </w:p>
                              </w:tc>
                              <w:tc>
                                <w:tcPr>
                                  <w:tcW w:w="1384" w:type="dxa"/>
                                  <w:tcBorders>
                                    <w:top w:val="nil"/>
                                    <w:left w:val="nil"/>
                                    <w:bottom w:val="single" w:sz="4" w:space="0" w:color="auto"/>
                                    <w:right w:val="single" w:sz="4" w:space="0" w:color="auto"/>
                                  </w:tcBorders>
                                  <w:shd w:val="clear" w:color="auto" w:fill="auto"/>
                                  <w:noWrap/>
                                  <w:hideMark/>
                                </w:tcPr>
                                <w:p w14:paraId="61A209D6"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44,01</w:t>
                                  </w:r>
                                </w:p>
                              </w:tc>
                              <w:tc>
                                <w:tcPr>
                                  <w:tcW w:w="799" w:type="dxa"/>
                                  <w:tcBorders>
                                    <w:top w:val="nil"/>
                                    <w:left w:val="nil"/>
                                    <w:bottom w:val="single" w:sz="4" w:space="0" w:color="auto"/>
                                    <w:right w:val="single" w:sz="4" w:space="0" w:color="auto"/>
                                  </w:tcBorders>
                                  <w:shd w:val="clear" w:color="auto" w:fill="auto"/>
                                  <w:noWrap/>
                                  <w:hideMark/>
                                </w:tcPr>
                                <w:p w14:paraId="206048EF"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59,6%</w:t>
                                  </w:r>
                                </w:p>
                              </w:tc>
                              <w:tc>
                                <w:tcPr>
                                  <w:tcW w:w="760" w:type="dxa"/>
                                  <w:tcBorders>
                                    <w:top w:val="nil"/>
                                    <w:left w:val="nil"/>
                                    <w:bottom w:val="single" w:sz="4" w:space="0" w:color="auto"/>
                                    <w:right w:val="single" w:sz="4" w:space="0" w:color="auto"/>
                                  </w:tcBorders>
                                  <w:shd w:val="clear" w:color="auto" w:fill="auto"/>
                                  <w:noWrap/>
                                  <w:vAlign w:val="center"/>
                                  <w:hideMark/>
                                </w:tcPr>
                                <w:p w14:paraId="28DACBC6"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w:t>
                                  </w:r>
                                </w:p>
                              </w:tc>
                              <w:tc>
                                <w:tcPr>
                                  <w:tcW w:w="1134" w:type="dxa"/>
                                  <w:tcBorders>
                                    <w:top w:val="nil"/>
                                    <w:left w:val="nil"/>
                                    <w:bottom w:val="single" w:sz="4" w:space="0" w:color="auto"/>
                                    <w:right w:val="single" w:sz="4" w:space="0" w:color="auto"/>
                                  </w:tcBorders>
                                  <w:shd w:val="clear" w:color="auto" w:fill="auto"/>
                                  <w:noWrap/>
                                  <w:hideMark/>
                                </w:tcPr>
                                <w:p w14:paraId="6CC82153"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1.965</w:t>
                                  </w:r>
                                </w:p>
                              </w:tc>
                            </w:tr>
                            <w:tr w:rsidR="0055406C" w:rsidRPr="00E63A98" w14:paraId="0175945B" w14:textId="77777777" w:rsidTr="0055406C">
                              <w:trPr>
                                <w:trHeight w:val="300"/>
                              </w:trPr>
                              <w:tc>
                                <w:tcPr>
                                  <w:tcW w:w="1324" w:type="dxa"/>
                                  <w:tcBorders>
                                    <w:top w:val="nil"/>
                                    <w:left w:val="single" w:sz="4" w:space="0" w:color="auto"/>
                                    <w:bottom w:val="single" w:sz="4" w:space="0" w:color="auto"/>
                                    <w:right w:val="single" w:sz="4" w:space="0" w:color="auto"/>
                                  </w:tcBorders>
                                  <w:shd w:val="clear" w:color="auto" w:fill="auto"/>
                                  <w:noWrap/>
                                  <w:hideMark/>
                                </w:tcPr>
                                <w:p w14:paraId="01B95658"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Total</w:t>
                                  </w:r>
                                </w:p>
                              </w:tc>
                              <w:tc>
                                <w:tcPr>
                                  <w:tcW w:w="851" w:type="dxa"/>
                                  <w:tcBorders>
                                    <w:top w:val="nil"/>
                                    <w:left w:val="nil"/>
                                    <w:bottom w:val="single" w:sz="4" w:space="0" w:color="auto"/>
                                    <w:right w:val="single" w:sz="4" w:space="0" w:color="auto"/>
                                  </w:tcBorders>
                                  <w:shd w:val="clear" w:color="auto" w:fill="auto"/>
                                  <w:noWrap/>
                                  <w:hideMark/>
                                </w:tcPr>
                                <w:p w14:paraId="3E322B69"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100%</w:t>
                                  </w:r>
                                </w:p>
                              </w:tc>
                              <w:tc>
                                <w:tcPr>
                                  <w:tcW w:w="1384" w:type="dxa"/>
                                  <w:tcBorders>
                                    <w:top w:val="nil"/>
                                    <w:left w:val="nil"/>
                                    <w:bottom w:val="single" w:sz="4" w:space="0" w:color="auto"/>
                                    <w:right w:val="single" w:sz="4" w:space="0" w:color="auto"/>
                                  </w:tcBorders>
                                  <w:shd w:val="clear" w:color="auto" w:fill="auto"/>
                                  <w:noWrap/>
                                  <w:hideMark/>
                                </w:tcPr>
                                <w:p w14:paraId="25B832E4"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25,83</w:t>
                                  </w:r>
                                </w:p>
                              </w:tc>
                              <w:tc>
                                <w:tcPr>
                                  <w:tcW w:w="799" w:type="dxa"/>
                                  <w:tcBorders>
                                    <w:top w:val="nil"/>
                                    <w:left w:val="nil"/>
                                    <w:bottom w:val="single" w:sz="4" w:space="0" w:color="auto"/>
                                    <w:right w:val="single" w:sz="4" w:space="0" w:color="auto"/>
                                  </w:tcBorders>
                                  <w:shd w:val="clear" w:color="auto" w:fill="auto"/>
                                  <w:noWrap/>
                                  <w:hideMark/>
                                </w:tcPr>
                                <w:p w14:paraId="268513D8"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100,0%</w:t>
                                  </w:r>
                                </w:p>
                              </w:tc>
                              <w:tc>
                                <w:tcPr>
                                  <w:tcW w:w="760" w:type="dxa"/>
                                  <w:tcBorders>
                                    <w:top w:val="nil"/>
                                    <w:left w:val="nil"/>
                                    <w:bottom w:val="single" w:sz="4" w:space="0" w:color="auto"/>
                                    <w:right w:val="single" w:sz="4" w:space="0" w:color="auto"/>
                                  </w:tcBorders>
                                  <w:shd w:val="clear" w:color="auto" w:fill="auto"/>
                                  <w:noWrap/>
                                  <w:hideMark/>
                                </w:tcPr>
                                <w:p w14:paraId="5A571617"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 xml:space="preserve">20.192 </w:t>
                                  </w:r>
                                </w:p>
                              </w:tc>
                              <w:tc>
                                <w:tcPr>
                                  <w:tcW w:w="1134" w:type="dxa"/>
                                  <w:tcBorders>
                                    <w:top w:val="nil"/>
                                    <w:left w:val="nil"/>
                                    <w:bottom w:val="single" w:sz="4" w:space="0" w:color="auto"/>
                                    <w:right w:val="single" w:sz="4" w:space="0" w:color="auto"/>
                                  </w:tcBorders>
                                  <w:shd w:val="clear" w:color="auto" w:fill="auto"/>
                                  <w:noWrap/>
                                  <w:hideMark/>
                                </w:tcPr>
                                <w:p w14:paraId="59F75B47"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1.153</w:t>
                                  </w:r>
                                </w:p>
                              </w:tc>
                            </w:tr>
                          </w:tbl>
                          <w:p w14:paraId="16C90735" w14:textId="77777777" w:rsidR="0055406C" w:rsidRDefault="0055406C" w:rsidP="0051388C">
                            <w:pPr>
                              <w:pStyle w:val="Legenda"/>
                              <w:spacing w:before="0"/>
                              <w:rPr>
                                <w:rFonts w:cs="Times New Roman"/>
                                <w:noProof/>
                                <w:color w:val="000000" w:themeColor="text1"/>
                                <w:szCs w:val="20"/>
                              </w:rPr>
                            </w:pPr>
                            <w:r w:rsidRPr="00E63A98">
                              <w:rPr>
                                <w:rFonts w:cs="Times New Roman"/>
                                <w:noProof/>
                                <w:color w:val="000000" w:themeColor="text1"/>
                                <w:szCs w:val="20"/>
                              </w:rPr>
                              <w:t>Fonte: elaboração propia.</w:t>
                            </w:r>
                          </w:p>
                          <w:p w14:paraId="7DBC1B9B" w14:textId="5E913026" w:rsidR="0055406C" w:rsidRPr="0051388C" w:rsidRDefault="0055406C">
                            <w:pPr>
                              <w:rPr>
                                <w:lang w:val="pt-B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3193C" id="_x0000_t202" coordsize="21600,21600" o:spt="202" path="m,l,21600r21600,l21600,xe">
                <v:stroke joinstyle="miter"/>
                <v:path gradientshapeok="t" o:connecttype="rect"/>
              </v:shapetype>
              <v:shape id="_x0000_s1029" type="#_x0000_t202" style="position:absolute;left:0;text-align:left;margin-left:-211pt;margin-top:129.15pt;width:332.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9xKQIAACkEAAAOAAAAZHJzL2Uyb0RvYy54bWysU9tu2zAMfR+wfxD0vvjSZE2MOEWXLsOA&#10;7gK0+wBGlmNhsqhJSuzu60cpaZptb8P8IJAmeUQeHi1vxl6zg3Reoal5Mck5k0Zgo8yu5t8eN2/m&#10;nPkApgGNRtb8SXp+s3r9ajnYSpbYoW6kYwRifDXYmnch2CrLvOhkD36CVhoKtuh6COS6XdY4GAi9&#10;11mZ52+zAV1jHQrpPf29Owb5KuG3rRThS9t6GZiuOfUW0unSuY1ntlpCtXNgOyVObcA/dNGDMnTp&#10;GeoOArC9U39B9Uo49NiGicA+w7ZVQqYZaJoi/2Oahw6sTLMQOd6eafL/D1Z8Pnx1TDU1v+bMQE8r&#10;WoMagTWSPcoxICsjR4P1FaU+WEoO4zscaddpXm/vUXz3zOC6A7OTt87h0EloqMciVmYXpUccH0G2&#10;wyds6DLYB0xAY+v6SCBRwgiddvV03g/1wQT9nJZlWRQzzgTFiml+tZjP0h1QPZdb58MHiT2LRs0d&#10;CSDBw+Heh9gOVM8p8TaPWjUbpXVy3G671o4dgMSySd8J/bc0bdhQ88WsnCVkg7E+6ahXgcSsVV/z&#10;eR6/WA5VpOO9aZIdQOmjTZ1oc+InUnIkJ4zbMa3jKtZG7rbYPBFhDo/apbdGRofuJ2cD6bbm/sce&#10;nORMfzRE+qKYTqPQkzOdXZfkuMvI9jICRhBUzQNnR3Md0uNIdNhbWs5GJdpeOjm1THpMbJ7eThT8&#10;pZ+yXl746hcAAAD//wMAUEsDBBQABgAIAAAAIQBQ7ORR4QAAAAwBAAAPAAAAZHJzL2Rvd25yZXYu&#10;eG1sTI8xT8MwFIR3JP6D9ZDYWgeTQhviVBUVCwMSBQlGN36JI+znyHbT8O8xE4ynO919V29nZ9mE&#10;IQ6eJNwsC2BIrdcD9RLe354Wa2AxKdLKekIJ3xhh21xe1KrS/kyvOB1Sz3IJxUpJMCmNFeexNehU&#10;XPoRKXudD06lLEPPdVDnXO4sF0Vxx50aKC8YNeKjwfbrcHISPpwZ9D68fHbaTvvnbrca5zBKeX01&#10;7x6AJZzTXxh+8TM6NJnp6E+kI7MSFqUQ+UySIFbrW2A5IkqxAXaUUN5vSuBNzf+faH4AAAD//wMA&#10;UEsBAi0AFAAGAAgAAAAhALaDOJL+AAAA4QEAABMAAAAAAAAAAAAAAAAAAAAAAFtDb250ZW50X1R5&#10;cGVzXS54bWxQSwECLQAUAAYACAAAACEAOP0h/9YAAACUAQAACwAAAAAAAAAAAAAAAAAvAQAAX3Jl&#10;bHMvLnJlbHNQSwECLQAUAAYACAAAACEAweFvcSkCAAApBAAADgAAAAAAAAAAAAAAAAAuAgAAZHJz&#10;L2Uyb0RvYy54bWxQSwECLQAUAAYACAAAACEAUOzkUeEAAAAMAQAADwAAAAAAAAAAAAAAAACDBAAA&#10;ZHJzL2Rvd25yZXYueG1sUEsFBgAAAAAEAAQA8wAAAJEFAAAAAA==&#10;" stroked="f">
                <v:textbox style="mso-fit-shape-to-text:t">
                  <w:txbxContent>
                    <w:p w14:paraId="5D64FF9F" w14:textId="02F0F880" w:rsidR="0055406C" w:rsidRPr="0029245C" w:rsidRDefault="0055406C" w:rsidP="0051388C">
                      <w:pPr>
                        <w:rPr>
                          <w:rFonts w:cs="Times New Roman"/>
                          <w:color w:val="000000" w:themeColor="text1"/>
                          <w:lang w:val="pt-BR"/>
                        </w:rPr>
                      </w:pPr>
                      <w:r w:rsidRPr="0029245C">
                        <w:rPr>
                          <w:rFonts w:cs="Times New Roman"/>
                          <w:color w:val="000000" w:themeColor="text1"/>
                          <w:lang w:val="pt-BR"/>
                        </w:rPr>
                        <w:t>Tabela 1: Composição, densidade e PCI do biogás e seus componentes.</w:t>
                      </w:r>
                    </w:p>
                    <w:tbl>
                      <w:tblPr>
                        <w:tblW w:w="6252" w:type="dxa"/>
                        <w:tblInd w:w="55" w:type="dxa"/>
                        <w:tblCellMar>
                          <w:left w:w="70" w:type="dxa"/>
                          <w:right w:w="70" w:type="dxa"/>
                        </w:tblCellMar>
                        <w:tblLook w:val="04A0" w:firstRow="1" w:lastRow="0" w:firstColumn="1" w:lastColumn="0" w:noHBand="0" w:noVBand="1"/>
                      </w:tblPr>
                      <w:tblGrid>
                        <w:gridCol w:w="1324"/>
                        <w:gridCol w:w="851"/>
                        <w:gridCol w:w="1384"/>
                        <w:gridCol w:w="799"/>
                        <w:gridCol w:w="760"/>
                        <w:gridCol w:w="1134"/>
                      </w:tblGrid>
                      <w:tr w:rsidR="0055406C" w:rsidRPr="00E63A98" w14:paraId="1D91F174" w14:textId="77777777" w:rsidTr="0055406C">
                        <w:trPr>
                          <w:trHeight w:val="300"/>
                        </w:trPr>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6AF650F"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Componente</w:t>
                            </w:r>
                          </w:p>
                        </w:tc>
                        <w:tc>
                          <w:tcPr>
                            <w:tcW w:w="851" w:type="dxa"/>
                            <w:tcBorders>
                              <w:top w:val="single" w:sz="4" w:space="0" w:color="auto"/>
                              <w:left w:val="nil"/>
                              <w:bottom w:val="single" w:sz="4" w:space="0" w:color="auto"/>
                              <w:right w:val="single" w:sz="4" w:space="0" w:color="auto"/>
                            </w:tcBorders>
                            <w:shd w:val="clear" w:color="auto" w:fill="E7E6E6" w:themeFill="background2"/>
                            <w:noWrap/>
                            <w:hideMark/>
                          </w:tcPr>
                          <w:p w14:paraId="11C4B250"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Volume</w:t>
                            </w:r>
                            <w:proofErr w:type="spellEnd"/>
                            <w:r w:rsidRPr="00E63A98">
                              <w:rPr>
                                <w:rFonts w:eastAsia="Times New Roman" w:cs="Times New Roman"/>
                                <w:b/>
                                <w:bCs/>
                                <w:color w:val="000000" w:themeColor="text1"/>
                                <w:lang w:eastAsia="pt-BR"/>
                              </w:rPr>
                              <w:t xml:space="preserve"> (%)</w:t>
                            </w:r>
                          </w:p>
                        </w:tc>
                        <w:tc>
                          <w:tcPr>
                            <w:tcW w:w="1384" w:type="dxa"/>
                            <w:tcBorders>
                              <w:top w:val="single" w:sz="4" w:space="0" w:color="auto"/>
                              <w:left w:val="nil"/>
                              <w:bottom w:val="single" w:sz="4" w:space="0" w:color="auto"/>
                              <w:right w:val="single" w:sz="4" w:space="0" w:color="auto"/>
                            </w:tcBorders>
                            <w:shd w:val="clear" w:color="auto" w:fill="E7E6E6" w:themeFill="background2"/>
                            <w:noWrap/>
                            <w:hideMark/>
                          </w:tcPr>
                          <w:p w14:paraId="41F973F0"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Massa</w:t>
                            </w:r>
                            <w:proofErr w:type="spellEnd"/>
                            <w:r w:rsidRPr="00E63A98">
                              <w:rPr>
                                <w:rFonts w:eastAsia="Times New Roman" w:cs="Times New Roman"/>
                                <w:b/>
                                <w:bCs/>
                                <w:color w:val="000000" w:themeColor="text1"/>
                                <w:lang w:eastAsia="pt-BR"/>
                              </w:rPr>
                              <w:t xml:space="preserve"> Molar (g/mol) </w:t>
                            </w:r>
                          </w:p>
                        </w:tc>
                        <w:tc>
                          <w:tcPr>
                            <w:tcW w:w="799" w:type="dxa"/>
                            <w:tcBorders>
                              <w:top w:val="single" w:sz="4" w:space="0" w:color="auto"/>
                              <w:left w:val="nil"/>
                              <w:bottom w:val="single" w:sz="4" w:space="0" w:color="auto"/>
                              <w:right w:val="single" w:sz="4" w:space="0" w:color="auto"/>
                            </w:tcBorders>
                            <w:shd w:val="clear" w:color="auto" w:fill="E7E6E6" w:themeFill="background2"/>
                            <w:noWrap/>
                            <w:hideMark/>
                          </w:tcPr>
                          <w:p w14:paraId="19E1A5F7"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Massa</w:t>
                            </w:r>
                            <w:proofErr w:type="spellEnd"/>
                            <w:r w:rsidRPr="00E63A98">
                              <w:rPr>
                                <w:rFonts w:eastAsia="Times New Roman" w:cs="Times New Roman"/>
                                <w:b/>
                                <w:bCs/>
                                <w:color w:val="000000" w:themeColor="text1"/>
                                <w:lang w:eastAsia="pt-BR"/>
                              </w:rPr>
                              <w:t xml:space="preserve"> (%)</w:t>
                            </w:r>
                          </w:p>
                        </w:tc>
                        <w:tc>
                          <w:tcPr>
                            <w:tcW w:w="760" w:type="dxa"/>
                            <w:tcBorders>
                              <w:top w:val="single" w:sz="4" w:space="0" w:color="auto"/>
                              <w:left w:val="nil"/>
                              <w:bottom w:val="single" w:sz="4" w:space="0" w:color="auto"/>
                              <w:right w:val="single" w:sz="4" w:space="0" w:color="auto"/>
                            </w:tcBorders>
                            <w:shd w:val="clear" w:color="auto" w:fill="E7E6E6" w:themeFill="background2"/>
                            <w:noWrap/>
                            <w:hideMark/>
                          </w:tcPr>
                          <w:p w14:paraId="00A8BE2A"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PCI (kJ/kg)</w:t>
                            </w:r>
                          </w:p>
                        </w:tc>
                        <w:tc>
                          <w:tcPr>
                            <w:tcW w:w="1134" w:type="dxa"/>
                            <w:tcBorders>
                              <w:top w:val="single" w:sz="4" w:space="0" w:color="auto"/>
                              <w:left w:val="nil"/>
                              <w:bottom w:val="single" w:sz="4" w:space="0" w:color="auto"/>
                              <w:right w:val="single" w:sz="4" w:space="0" w:color="auto"/>
                            </w:tcBorders>
                            <w:shd w:val="clear" w:color="auto" w:fill="E7E6E6" w:themeFill="background2"/>
                            <w:noWrap/>
                            <w:hideMark/>
                          </w:tcPr>
                          <w:p w14:paraId="64940508" w14:textId="77777777" w:rsidR="0055406C" w:rsidRPr="00E63A98" w:rsidRDefault="0055406C" w:rsidP="0055406C">
                            <w:pPr>
                              <w:rPr>
                                <w:rFonts w:eastAsia="Times New Roman" w:cs="Times New Roman"/>
                                <w:b/>
                                <w:bCs/>
                                <w:color w:val="000000" w:themeColor="text1"/>
                                <w:lang w:eastAsia="pt-BR"/>
                              </w:rPr>
                            </w:pPr>
                            <w:proofErr w:type="spellStart"/>
                            <w:r w:rsidRPr="00E63A98">
                              <w:rPr>
                                <w:rFonts w:eastAsia="Times New Roman" w:cs="Times New Roman"/>
                                <w:b/>
                                <w:bCs/>
                                <w:color w:val="000000" w:themeColor="text1"/>
                                <w:lang w:eastAsia="pt-BR"/>
                              </w:rPr>
                              <w:t>Densidade</w:t>
                            </w:r>
                            <w:proofErr w:type="spellEnd"/>
                            <w:r w:rsidRPr="00E63A98">
                              <w:rPr>
                                <w:rFonts w:eastAsia="Times New Roman" w:cs="Times New Roman"/>
                                <w:b/>
                                <w:bCs/>
                                <w:color w:val="000000" w:themeColor="text1"/>
                                <w:lang w:eastAsia="pt-BR"/>
                              </w:rPr>
                              <w:t xml:space="preserve"> (kg/m3)</w:t>
                            </w:r>
                          </w:p>
                        </w:tc>
                      </w:tr>
                      <w:tr w:rsidR="0055406C" w:rsidRPr="00E63A98" w14:paraId="61DAFBBB" w14:textId="77777777" w:rsidTr="0055406C">
                        <w:trPr>
                          <w:trHeight w:val="300"/>
                        </w:trPr>
                        <w:tc>
                          <w:tcPr>
                            <w:tcW w:w="1324" w:type="dxa"/>
                            <w:tcBorders>
                              <w:top w:val="nil"/>
                              <w:left w:val="single" w:sz="4" w:space="0" w:color="auto"/>
                              <w:bottom w:val="single" w:sz="4" w:space="0" w:color="auto"/>
                              <w:right w:val="single" w:sz="4" w:space="0" w:color="auto"/>
                            </w:tcBorders>
                            <w:shd w:val="clear" w:color="auto" w:fill="auto"/>
                            <w:noWrap/>
                            <w:hideMark/>
                          </w:tcPr>
                          <w:p w14:paraId="02E8C384"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CH</w:t>
                            </w:r>
                            <w:r w:rsidRPr="00E63A98">
                              <w:rPr>
                                <w:rFonts w:eastAsia="Times New Roman" w:cs="Times New Roman"/>
                                <w:b/>
                                <w:bCs/>
                                <w:color w:val="000000" w:themeColor="text1"/>
                                <w:vertAlign w:val="subscript"/>
                                <w:lang w:eastAsia="pt-BR"/>
                              </w:rPr>
                              <w:t>4</w:t>
                            </w:r>
                          </w:p>
                        </w:tc>
                        <w:tc>
                          <w:tcPr>
                            <w:tcW w:w="851" w:type="dxa"/>
                            <w:tcBorders>
                              <w:top w:val="nil"/>
                              <w:left w:val="nil"/>
                              <w:bottom w:val="single" w:sz="4" w:space="0" w:color="auto"/>
                              <w:right w:val="single" w:sz="4" w:space="0" w:color="auto"/>
                            </w:tcBorders>
                            <w:shd w:val="clear" w:color="auto" w:fill="auto"/>
                            <w:noWrap/>
                            <w:hideMark/>
                          </w:tcPr>
                          <w:p w14:paraId="36A1404C"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65%</w:t>
                            </w:r>
                          </w:p>
                        </w:tc>
                        <w:tc>
                          <w:tcPr>
                            <w:tcW w:w="1384" w:type="dxa"/>
                            <w:tcBorders>
                              <w:top w:val="nil"/>
                              <w:left w:val="nil"/>
                              <w:bottom w:val="single" w:sz="4" w:space="0" w:color="auto"/>
                              <w:right w:val="single" w:sz="4" w:space="0" w:color="auto"/>
                            </w:tcBorders>
                            <w:shd w:val="clear" w:color="auto" w:fill="auto"/>
                            <w:noWrap/>
                            <w:hideMark/>
                          </w:tcPr>
                          <w:p w14:paraId="632C76EE"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16,04</w:t>
                            </w:r>
                          </w:p>
                        </w:tc>
                        <w:tc>
                          <w:tcPr>
                            <w:tcW w:w="799" w:type="dxa"/>
                            <w:tcBorders>
                              <w:top w:val="nil"/>
                              <w:left w:val="nil"/>
                              <w:bottom w:val="single" w:sz="4" w:space="0" w:color="auto"/>
                              <w:right w:val="single" w:sz="4" w:space="0" w:color="auto"/>
                            </w:tcBorders>
                            <w:shd w:val="clear" w:color="auto" w:fill="auto"/>
                            <w:noWrap/>
                            <w:hideMark/>
                          </w:tcPr>
                          <w:p w14:paraId="3BDB78B4"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40,4%</w:t>
                            </w:r>
                          </w:p>
                        </w:tc>
                        <w:tc>
                          <w:tcPr>
                            <w:tcW w:w="760" w:type="dxa"/>
                            <w:tcBorders>
                              <w:top w:val="nil"/>
                              <w:left w:val="nil"/>
                              <w:bottom w:val="single" w:sz="4" w:space="0" w:color="auto"/>
                              <w:right w:val="single" w:sz="4" w:space="0" w:color="auto"/>
                            </w:tcBorders>
                            <w:shd w:val="clear" w:color="auto" w:fill="auto"/>
                            <w:noWrap/>
                            <w:hideMark/>
                          </w:tcPr>
                          <w:p w14:paraId="6DB26EF9"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 xml:space="preserve">50.023 </w:t>
                            </w:r>
                          </w:p>
                        </w:tc>
                        <w:tc>
                          <w:tcPr>
                            <w:tcW w:w="1134" w:type="dxa"/>
                            <w:tcBorders>
                              <w:top w:val="nil"/>
                              <w:left w:val="nil"/>
                              <w:bottom w:val="single" w:sz="4" w:space="0" w:color="auto"/>
                              <w:right w:val="single" w:sz="4" w:space="0" w:color="auto"/>
                            </w:tcBorders>
                            <w:shd w:val="clear" w:color="auto" w:fill="auto"/>
                            <w:noWrap/>
                          </w:tcPr>
                          <w:p w14:paraId="715841A3"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716</w:t>
                            </w:r>
                          </w:p>
                        </w:tc>
                      </w:tr>
                      <w:tr w:rsidR="0055406C" w:rsidRPr="00E63A98" w14:paraId="54B36869" w14:textId="77777777" w:rsidTr="0055406C">
                        <w:trPr>
                          <w:trHeight w:val="300"/>
                        </w:trPr>
                        <w:tc>
                          <w:tcPr>
                            <w:tcW w:w="1324" w:type="dxa"/>
                            <w:tcBorders>
                              <w:top w:val="nil"/>
                              <w:left w:val="single" w:sz="4" w:space="0" w:color="auto"/>
                              <w:bottom w:val="single" w:sz="4" w:space="0" w:color="auto"/>
                              <w:right w:val="single" w:sz="4" w:space="0" w:color="auto"/>
                            </w:tcBorders>
                            <w:shd w:val="clear" w:color="auto" w:fill="auto"/>
                            <w:noWrap/>
                            <w:hideMark/>
                          </w:tcPr>
                          <w:p w14:paraId="28F815F8"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CO</w:t>
                            </w:r>
                            <w:r w:rsidRPr="00E63A98">
                              <w:rPr>
                                <w:rFonts w:eastAsia="Times New Roman" w:cs="Times New Roman"/>
                                <w:b/>
                                <w:bCs/>
                                <w:color w:val="000000" w:themeColor="text1"/>
                                <w:vertAlign w:val="subscript"/>
                                <w:lang w:eastAsia="pt-BR"/>
                              </w:rPr>
                              <w:t>2</w:t>
                            </w:r>
                          </w:p>
                        </w:tc>
                        <w:tc>
                          <w:tcPr>
                            <w:tcW w:w="851" w:type="dxa"/>
                            <w:tcBorders>
                              <w:top w:val="nil"/>
                              <w:left w:val="nil"/>
                              <w:bottom w:val="single" w:sz="4" w:space="0" w:color="auto"/>
                              <w:right w:val="single" w:sz="4" w:space="0" w:color="auto"/>
                            </w:tcBorders>
                            <w:shd w:val="clear" w:color="auto" w:fill="auto"/>
                            <w:noWrap/>
                            <w:hideMark/>
                          </w:tcPr>
                          <w:p w14:paraId="506F8730"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35%</w:t>
                            </w:r>
                          </w:p>
                        </w:tc>
                        <w:tc>
                          <w:tcPr>
                            <w:tcW w:w="1384" w:type="dxa"/>
                            <w:tcBorders>
                              <w:top w:val="nil"/>
                              <w:left w:val="nil"/>
                              <w:bottom w:val="single" w:sz="4" w:space="0" w:color="auto"/>
                              <w:right w:val="single" w:sz="4" w:space="0" w:color="auto"/>
                            </w:tcBorders>
                            <w:shd w:val="clear" w:color="auto" w:fill="auto"/>
                            <w:noWrap/>
                            <w:hideMark/>
                          </w:tcPr>
                          <w:p w14:paraId="61A209D6"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44,01</w:t>
                            </w:r>
                          </w:p>
                        </w:tc>
                        <w:tc>
                          <w:tcPr>
                            <w:tcW w:w="799" w:type="dxa"/>
                            <w:tcBorders>
                              <w:top w:val="nil"/>
                              <w:left w:val="nil"/>
                              <w:bottom w:val="single" w:sz="4" w:space="0" w:color="auto"/>
                              <w:right w:val="single" w:sz="4" w:space="0" w:color="auto"/>
                            </w:tcBorders>
                            <w:shd w:val="clear" w:color="auto" w:fill="auto"/>
                            <w:noWrap/>
                            <w:hideMark/>
                          </w:tcPr>
                          <w:p w14:paraId="206048EF"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59,6%</w:t>
                            </w:r>
                          </w:p>
                        </w:tc>
                        <w:tc>
                          <w:tcPr>
                            <w:tcW w:w="760" w:type="dxa"/>
                            <w:tcBorders>
                              <w:top w:val="nil"/>
                              <w:left w:val="nil"/>
                              <w:bottom w:val="single" w:sz="4" w:space="0" w:color="auto"/>
                              <w:right w:val="single" w:sz="4" w:space="0" w:color="auto"/>
                            </w:tcBorders>
                            <w:shd w:val="clear" w:color="auto" w:fill="auto"/>
                            <w:noWrap/>
                            <w:vAlign w:val="center"/>
                            <w:hideMark/>
                          </w:tcPr>
                          <w:p w14:paraId="28DACBC6"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w:t>
                            </w:r>
                          </w:p>
                        </w:tc>
                        <w:tc>
                          <w:tcPr>
                            <w:tcW w:w="1134" w:type="dxa"/>
                            <w:tcBorders>
                              <w:top w:val="nil"/>
                              <w:left w:val="nil"/>
                              <w:bottom w:val="single" w:sz="4" w:space="0" w:color="auto"/>
                              <w:right w:val="single" w:sz="4" w:space="0" w:color="auto"/>
                            </w:tcBorders>
                            <w:shd w:val="clear" w:color="auto" w:fill="auto"/>
                            <w:noWrap/>
                            <w:hideMark/>
                          </w:tcPr>
                          <w:p w14:paraId="6CC82153"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1.965</w:t>
                            </w:r>
                          </w:p>
                        </w:tc>
                      </w:tr>
                      <w:tr w:rsidR="0055406C" w:rsidRPr="00E63A98" w14:paraId="0175945B" w14:textId="77777777" w:rsidTr="0055406C">
                        <w:trPr>
                          <w:trHeight w:val="300"/>
                        </w:trPr>
                        <w:tc>
                          <w:tcPr>
                            <w:tcW w:w="1324" w:type="dxa"/>
                            <w:tcBorders>
                              <w:top w:val="nil"/>
                              <w:left w:val="single" w:sz="4" w:space="0" w:color="auto"/>
                              <w:bottom w:val="single" w:sz="4" w:space="0" w:color="auto"/>
                              <w:right w:val="single" w:sz="4" w:space="0" w:color="auto"/>
                            </w:tcBorders>
                            <w:shd w:val="clear" w:color="auto" w:fill="auto"/>
                            <w:noWrap/>
                            <w:hideMark/>
                          </w:tcPr>
                          <w:p w14:paraId="01B95658" w14:textId="77777777" w:rsidR="0055406C" w:rsidRPr="00E63A98" w:rsidRDefault="0055406C" w:rsidP="0055406C">
                            <w:pPr>
                              <w:rPr>
                                <w:rFonts w:eastAsia="Times New Roman" w:cs="Times New Roman"/>
                                <w:b/>
                                <w:bCs/>
                                <w:color w:val="000000" w:themeColor="text1"/>
                                <w:lang w:eastAsia="pt-BR"/>
                              </w:rPr>
                            </w:pPr>
                            <w:r w:rsidRPr="00E63A98">
                              <w:rPr>
                                <w:rFonts w:eastAsia="Times New Roman" w:cs="Times New Roman"/>
                                <w:b/>
                                <w:bCs/>
                                <w:color w:val="000000" w:themeColor="text1"/>
                                <w:lang w:eastAsia="pt-BR"/>
                              </w:rPr>
                              <w:t>Total</w:t>
                            </w:r>
                          </w:p>
                        </w:tc>
                        <w:tc>
                          <w:tcPr>
                            <w:tcW w:w="851" w:type="dxa"/>
                            <w:tcBorders>
                              <w:top w:val="nil"/>
                              <w:left w:val="nil"/>
                              <w:bottom w:val="single" w:sz="4" w:space="0" w:color="auto"/>
                              <w:right w:val="single" w:sz="4" w:space="0" w:color="auto"/>
                            </w:tcBorders>
                            <w:shd w:val="clear" w:color="auto" w:fill="auto"/>
                            <w:noWrap/>
                            <w:hideMark/>
                          </w:tcPr>
                          <w:p w14:paraId="3E322B69"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100%</w:t>
                            </w:r>
                          </w:p>
                        </w:tc>
                        <w:tc>
                          <w:tcPr>
                            <w:tcW w:w="1384" w:type="dxa"/>
                            <w:tcBorders>
                              <w:top w:val="nil"/>
                              <w:left w:val="nil"/>
                              <w:bottom w:val="single" w:sz="4" w:space="0" w:color="auto"/>
                              <w:right w:val="single" w:sz="4" w:space="0" w:color="auto"/>
                            </w:tcBorders>
                            <w:shd w:val="clear" w:color="auto" w:fill="auto"/>
                            <w:noWrap/>
                            <w:hideMark/>
                          </w:tcPr>
                          <w:p w14:paraId="25B832E4"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25,83</w:t>
                            </w:r>
                          </w:p>
                        </w:tc>
                        <w:tc>
                          <w:tcPr>
                            <w:tcW w:w="799" w:type="dxa"/>
                            <w:tcBorders>
                              <w:top w:val="nil"/>
                              <w:left w:val="nil"/>
                              <w:bottom w:val="single" w:sz="4" w:space="0" w:color="auto"/>
                              <w:right w:val="single" w:sz="4" w:space="0" w:color="auto"/>
                            </w:tcBorders>
                            <w:shd w:val="clear" w:color="auto" w:fill="auto"/>
                            <w:noWrap/>
                            <w:hideMark/>
                          </w:tcPr>
                          <w:p w14:paraId="268513D8"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100,0%</w:t>
                            </w:r>
                          </w:p>
                        </w:tc>
                        <w:tc>
                          <w:tcPr>
                            <w:tcW w:w="760" w:type="dxa"/>
                            <w:tcBorders>
                              <w:top w:val="nil"/>
                              <w:left w:val="nil"/>
                              <w:bottom w:val="single" w:sz="4" w:space="0" w:color="auto"/>
                              <w:right w:val="single" w:sz="4" w:space="0" w:color="auto"/>
                            </w:tcBorders>
                            <w:shd w:val="clear" w:color="auto" w:fill="auto"/>
                            <w:noWrap/>
                            <w:hideMark/>
                          </w:tcPr>
                          <w:p w14:paraId="5A571617"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 xml:space="preserve">20.192 </w:t>
                            </w:r>
                          </w:p>
                        </w:tc>
                        <w:tc>
                          <w:tcPr>
                            <w:tcW w:w="1134" w:type="dxa"/>
                            <w:tcBorders>
                              <w:top w:val="nil"/>
                              <w:left w:val="nil"/>
                              <w:bottom w:val="single" w:sz="4" w:space="0" w:color="auto"/>
                              <w:right w:val="single" w:sz="4" w:space="0" w:color="auto"/>
                            </w:tcBorders>
                            <w:shd w:val="clear" w:color="auto" w:fill="auto"/>
                            <w:noWrap/>
                            <w:hideMark/>
                          </w:tcPr>
                          <w:p w14:paraId="59F75B47" w14:textId="77777777" w:rsidR="0055406C" w:rsidRPr="00E63A98" w:rsidRDefault="0055406C" w:rsidP="0055406C">
                            <w:pPr>
                              <w:rPr>
                                <w:rFonts w:eastAsia="Times New Roman" w:cs="Times New Roman"/>
                                <w:color w:val="000000" w:themeColor="text1"/>
                                <w:lang w:eastAsia="pt-BR"/>
                              </w:rPr>
                            </w:pPr>
                            <w:r w:rsidRPr="00E63A98">
                              <w:rPr>
                                <w:rFonts w:eastAsia="Times New Roman" w:cs="Times New Roman"/>
                                <w:color w:val="000000" w:themeColor="text1"/>
                                <w:lang w:eastAsia="pt-BR"/>
                              </w:rPr>
                              <w:t>1.153</w:t>
                            </w:r>
                          </w:p>
                        </w:tc>
                      </w:tr>
                    </w:tbl>
                    <w:p w14:paraId="16C90735" w14:textId="77777777" w:rsidR="0055406C" w:rsidRDefault="0055406C" w:rsidP="0051388C">
                      <w:pPr>
                        <w:pStyle w:val="Legenda"/>
                        <w:spacing w:before="0"/>
                        <w:rPr>
                          <w:rFonts w:cs="Times New Roman"/>
                          <w:noProof/>
                          <w:color w:val="000000" w:themeColor="text1"/>
                          <w:szCs w:val="20"/>
                        </w:rPr>
                      </w:pPr>
                      <w:r w:rsidRPr="00E63A98">
                        <w:rPr>
                          <w:rFonts w:cs="Times New Roman"/>
                          <w:noProof/>
                          <w:color w:val="000000" w:themeColor="text1"/>
                          <w:szCs w:val="20"/>
                        </w:rPr>
                        <w:t>Fonte: elaboração propia.</w:t>
                      </w:r>
                    </w:p>
                    <w:p w14:paraId="7DBC1B9B" w14:textId="5E913026" w:rsidR="0055406C" w:rsidRPr="0051388C" w:rsidRDefault="0055406C">
                      <w:pPr>
                        <w:rPr>
                          <w:lang w:val="pt-BR"/>
                        </w:rPr>
                      </w:pPr>
                    </w:p>
                  </w:txbxContent>
                </v:textbox>
                <w10:wrap type="topAndBottom"/>
              </v:shape>
            </w:pict>
          </mc:Fallback>
        </mc:AlternateContent>
      </w:r>
      <w:r w:rsidR="0029245C" w:rsidRPr="0029245C">
        <w:rPr>
          <w:rFonts w:cs="Times New Roman"/>
          <w:color w:val="000000" w:themeColor="text1"/>
          <w:lang w:val="pt-BR"/>
        </w:rPr>
        <w:t>Por meio da equação [6], considerando um rendimento termodinâmico da turbina a gás de 33%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T</m:t>
            </m:r>
            <m:r>
              <w:rPr>
                <w:rFonts w:ascii="Cambria Math" w:hAnsi="Cambria Math" w:cs="Times New Roman"/>
                <w:color w:val="000000" w:themeColor="text1"/>
                <w:lang w:val="pt-BR"/>
              </w:rPr>
              <m:t>,</m:t>
            </m:r>
            <m:r>
              <w:rPr>
                <w:rFonts w:ascii="Cambria Math" w:hAnsi="Cambria Math" w:cs="Times New Roman"/>
                <w:color w:val="000000" w:themeColor="text1"/>
              </w:rPr>
              <m:t>TG</m:t>
            </m:r>
          </m:sub>
        </m:sSub>
      </m:oMath>
      <w:r w:rsidR="0029245C" w:rsidRPr="0029245C">
        <w:rPr>
          <w:rFonts w:eastAsiaTheme="minorEastAsia" w:cs="Times New Roman"/>
          <w:color w:val="000000" w:themeColor="text1"/>
          <w:lang w:val="pt-BR"/>
        </w:rPr>
        <w:t>) e eficiência do gerador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ge</m:t>
            </m:r>
          </m:sub>
        </m:sSub>
      </m:oMath>
      <w:r w:rsidR="0029245C" w:rsidRPr="0029245C">
        <w:rPr>
          <w:rFonts w:eastAsiaTheme="minorEastAsia" w:cs="Times New Roman"/>
          <w:color w:val="000000" w:themeColor="text1"/>
          <w:lang w:val="pt-BR"/>
        </w:rPr>
        <w:t xml:space="preserve">) de 95% </w:t>
      </w:r>
      <w:r w:rsidR="0029245C" w:rsidRPr="00E63A98">
        <w:rPr>
          <w:rFonts w:eastAsiaTheme="minorEastAsia" w:cs="Times New Roman"/>
          <w:color w:val="000000" w:themeColor="text1"/>
        </w:rPr>
        <w:fldChar w:fldCharType="begin" w:fldLock="1"/>
      </w:r>
      <w:r w:rsidR="0029245C" w:rsidRPr="0029245C">
        <w:rPr>
          <w:rFonts w:eastAsiaTheme="minorEastAsia" w:cs="Times New Roman"/>
          <w:color w:val="000000" w:themeColor="text1"/>
          <w:lang w:val="pt-BR"/>
        </w:rPr>
        <w:instrText>ADDIN CSL_CITATION {"citationItems":[{"id":"ITEM-1","itemData":{"DOI":"10.1007/s12155-019-10071-0","abstract":"Cassava is a commodity that has great importance in food security in many developing countries. The main product in Brazil produced from cassava is the flour, representing approximately 60% of the cassava final destination. As a by-product of this process, we have a wastewater called manipueira. This effluent is highly toxic because it contains cyanidric acid. The manipueira has great potential for biogas production, adding values to the cassava production chain and, also, reducing the content of cyanidric during the methanation process. This study analyzes the energy and economic efficiency of the biogas production from the manipueira produced in a large power plant, using it as an energy source in the feeding of a cogeneration system composed of a gas microturbine and a heat recovery system, whose purpose is to generate electric and thermal energy. The use of the microturbine system instead of other conversion technology is based on the power it presents when it is used for cogeneration, increasing the system efficiency. The study showed that from the economic feasibility calculation, it was possible to determine the cost of producing electricity of US$ 0.16/kWh and of thermal energy of US$ 0.04/kWh with an amortization period of 1.3 years. The results obtained from these analyzes showed that the use of this biofuel is a good choice for energy generation. Abbreviations m ˙ ar Air Mass Flow (kg/m 3) m ˙ comb Fuel Mass Flow (kg/m 3) m ˙ gas Gas Mass Flow (kg/m 3) m ˙ v Steam Mass Flow (kg/m 3) V ˙ bioga 0 s Biogas Volume Flow (m 3 /s) W ˙ e Electric Power (kW) C comb Fuel Cost","author":[{"dropping-particle":"","family":"Aparecida","given":"Yasmim","non-dropping-particle":"","parse-names":false,"suffix":""},{"dropping-particle":"","family":"Chaves","given":"Oliveira","non-dropping-particle":"","parse-names":false,"suffix":""},{"dropping-particle":"","family":"Springer","given":"Marcus Val","non-dropping-particle":"","parse-names":false,"suffix":""},{"dropping-particle":"","family":"Arismel","given":"Ronney","non-dropping-particle":"","parse-names":false,"suffix":""},{"dropping-particle":"","family":"Boloy","given":"Mancebo","non-dropping-particle":"","parse-names":false,"suffix":""},{"dropping-particle":"","family":"Manuel De Castro","given":"Orlando","non-dropping-particle":"","parse-names":false,"suffix":""},{"dropping-particle":"","family":"Soares","given":"Ferreira","non-dropping-particle":"","parse-names":false,"suffix":""},{"dropping-particle":"","family":"Guiller","given":"Jonni","non-dropping-particle":"","parse-names":false,"suffix":""},{"dropping-particle":"","family":"Madeira","given":"Ferreira","non-dropping-particle":"","parse-names":false,"suffix":""}],"id":"ITEM-1","issued":{"date-parts":[["0"]]},"title":"Performance Study of a Microturbine System for Cogeneration Application Using Biogas from Manipueira Gas Enthalpy at T 2 (kJ/kg) h 6 Enthalpy of saturated steam at the heat recovery outlet temperature (kJ/kg) h 7 Enthalpy of saturated liquid at 90°C (kJ/kg) h 8 Compressor inlet temperature (°C)","type":"article-journal"},"uris":["http://www.mendeley.com/documents/?uuid=d2c9937b-4433-3af1-9095-f782e3b7ae16"]}],"mendeley":{"formattedCitation":"[14]","plainTextFormattedCitation":"[14]","previouslyFormattedCitation":"[14]"},"properties":{"noteIndex":0},"schema":"https://github.com/citation-style-language/schema/raw/master/csl-citation.json"}</w:instrText>
      </w:r>
      <w:r w:rsidR="0029245C" w:rsidRPr="00E63A98">
        <w:rPr>
          <w:rFonts w:eastAsiaTheme="minorEastAsia" w:cs="Times New Roman"/>
          <w:color w:val="000000" w:themeColor="text1"/>
        </w:rPr>
        <w:fldChar w:fldCharType="separate"/>
      </w:r>
      <w:r w:rsidR="0029245C" w:rsidRPr="0029245C">
        <w:rPr>
          <w:rFonts w:eastAsiaTheme="minorEastAsia" w:cs="Times New Roman"/>
          <w:noProof/>
          <w:color w:val="000000" w:themeColor="text1"/>
          <w:lang w:val="pt-BR"/>
        </w:rPr>
        <w:t>[14]</w:t>
      </w:r>
      <w:r w:rsidR="0029245C" w:rsidRPr="00E63A98">
        <w:rPr>
          <w:rFonts w:eastAsiaTheme="minorEastAsia" w:cs="Times New Roman"/>
          <w:color w:val="000000" w:themeColor="text1"/>
        </w:rPr>
        <w:fldChar w:fldCharType="end"/>
      </w:r>
      <w:r w:rsidR="0029245C" w:rsidRPr="0029245C">
        <w:rPr>
          <w:rFonts w:eastAsiaTheme="minorEastAsia" w:cs="Times New Roman"/>
          <w:color w:val="000000" w:themeColor="text1"/>
          <w:lang w:val="pt-BR"/>
        </w:rPr>
        <w:t>, com uma vazão de 0,0556 kg/s de biogás ao longo de um tempo de operação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Op</m:t>
            </m:r>
          </m:sub>
        </m:sSub>
      </m:oMath>
      <w:r w:rsidR="0029245C" w:rsidRPr="0029245C">
        <w:rPr>
          <w:rFonts w:eastAsiaTheme="minorEastAsia" w:cs="Times New Roman"/>
          <w:color w:val="000000" w:themeColor="text1"/>
          <w:lang w:val="pt-BR"/>
        </w:rPr>
        <w:t>)</w:t>
      </w:r>
      <w:r w:rsidR="0029245C" w:rsidRPr="0029245C">
        <w:rPr>
          <w:rFonts w:cs="Times New Roman"/>
          <w:color w:val="000000" w:themeColor="text1"/>
          <w:lang w:val="pt-BR"/>
        </w:rPr>
        <w:t xml:space="preserve"> assumido em 18 horas diárias, e com o </w:t>
      </w:r>
      <w:r w:rsidR="0029245C" w:rsidRPr="0029245C">
        <w:rPr>
          <w:rFonts w:cs="Times New Roman"/>
          <w:i/>
          <w:color w:val="000000" w:themeColor="text1"/>
          <w:lang w:val="pt-BR"/>
        </w:rPr>
        <w:t>PCI</w:t>
      </w:r>
      <w:r w:rsidR="0029245C" w:rsidRPr="0029245C">
        <w:rPr>
          <w:rFonts w:cs="Times New Roman"/>
          <w:color w:val="000000" w:themeColor="text1"/>
          <w:lang w:val="pt-BR"/>
        </w:rPr>
        <w:t xml:space="preserve"> do biogás calculado conforme Tabela 1, se chega a uma potência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TG</m:t>
            </m:r>
          </m:sub>
        </m:sSub>
      </m:oMath>
      <w:r w:rsidR="0029245C" w:rsidRPr="0029245C">
        <w:rPr>
          <w:rFonts w:cs="Times New Roman"/>
          <w:color w:val="000000" w:themeColor="text1"/>
          <w:lang w:val="pt-BR"/>
        </w:rPr>
        <w:t xml:space="preserve">) de 352 kW. </w:t>
      </w:r>
    </w:p>
    <w:p w14:paraId="65C096C2" w14:textId="62DE3D47" w:rsidR="0029245C" w:rsidRDefault="0029245C" w:rsidP="0029245C">
      <w:pPr>
        <w:rPr>
          <w:rFonts w:cs="Times New Roman"/>
          <w:color w:val="000000" w:themeColor="text1"/>
          <w:lang w:val="pt-BR"/>
        </w:rPr>
      </w:pPr>
      <w:r w:rsidRPr="0029245C">
        <w:rPr>
          <w:rFonts w:cs="Times New Roman"/>
          <w:color w:val="000000" w:themeColor="text1"/>
          <w:lang w:val="pt-BR"/>
        </w:rPr>
        <w:t xml:space="preserve">Com as equações [5] e [6], utilizando uma eficiência do gerador de 95%, chaga-se a um total de 6,34 </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xml:space="preserve"> de potencial de geração elétrica diária. </w:t>
      </w:r>
    </w:p>
    <w:p w14:paraId="0C00007C" w14:textId="77777777" w:rsidR="00C263F7" w:rsidRPr="0029245C" w:rsidRDefault="00C263F7" w:rsidP="0029245C">
      <w:pPr>
        <w:rPr>
          <w:rFonts w:cs="Times New Roman"/>
          <w:color w:val="000000" w:themeColor="text1"/>
          <w:lang w:val="pt-BR"/>
        </w:rPr>
      </w:pPr>
    </w:p>
    <w:p w14:paraId="08D9783E" w14:textId="77777777" w:rsidR="0029245C" w:rsidRDefault="0029245C" w:rsidP="0029245C">
      <w:pPr>
        <w:pStyle w:val="Ttulo1"/>
        <w:keepNext/>
        <w:keepLines/>
        <w:numPr>
          <w:ilvl w:val="2"/>
          <w:numId w:val="26"/>
        </w:numPr>
        <w:spacing w:line="259" w:lineRule="auto"/>
        <w:ind w:left="0" w:firstLine="0"/>
        <w:contextualSpacing w:val="0"/>
        <w:jc w:val="left"/>
        <w:rPr>
          <w:color w:val="000000" w:themeColor="text1"/>
        </w:rPr>
      </w:pPr>
      <w:proofErr w:type="spellStart"/>
      <w:r w:rsidRPr="00E63A98">
        <w:rPr>
          <w:color w:val="000000" w:themeColor="text1"/>
        </w:rPr>
        <w:t>Produção</w:t>
      </w:r>
      <w:proofErr w:type="spellEnd"/>
      <w:r w:rsidRPr="00E63A98">
        <w:rPr>
          <w:color w:val="000000" w:themeColor="text1"/>
        </w:rPr>
        <w:t xml:space="preserve"> de </w:t>
      </w:r>
      <w:proofErr w:type="spellStart"/>
      <w:r w:rsidRPr="00E63A98">
        <w:rPr>
          <w:color w:val="000000" w:themeColor="text1"/>
        </w:rPr>
        <w:t>Biohidrogênio</w:t>
      </w:r>
      <w:proofErr w:type="spellEnd"/>
    </w:p>
    <w:p w14:paraId="19E68871" w14:textId="77777777" w:rsidR="0029245C" w:rsidRPr="00E13DE6" w:rsidRDefault="0029245C" w:rsidP="0029245C"/>
    <w:p w14:paraId="3C0D0715" w14:textId="77777777" w:rsidR="0029245C" w:rsidRPr="0029245C" w:rsidRDefault="0029245C" w:rsidP="0029245C">
      <w:pPr>
        <w:rPr>
          <w:rFonts w:cs="Times New Roman"/>
          <w:color w:val="000000" w:themeColor="text1"/>
          <w:lang w:val="pt-BR"/>
        </w:rPr>
      </w:pPr>
      <w:r w:rsidRPr="0029245C">
        <w:rPr>
          <w:rFonts w:cs="Times New Roman"/>
          <w:color w:val="000000" w:themeColor="text1"/>
          <w:lang w:val="pt-BR"/>
        </w:rPr>
        <w:t xml:space="preserve">Por meio da equação [8] é possível calcular a massa diária de hidrogênio produzida por eletrólise, considerando que toda a eletricidade gerada foi </w:t>
      </w:r>
      <w:r w:rsidRPr="0029245C">
        <w:rPr>
          <w:rFonts w:cs="Times New Roman"/>
          <w:color w:val="000000" w:themeColor="text1"/>
          <w:lang w:val="pt-BR"/>
        </w:rPr>
        <w:lastRenderedPageBreak/>
        <w:t xml:space="preserve">destinada a este processo. Considerando eficiência do </w:t>
      </w:r>
      <w:proofErr w:type="spellStart"/>
      <w:r w:rsidRPr="0029245C">
        <w:rPr>
          <w:rFonts w:cs="Times New Roman"/>
          <w:color w:val="000000" w:themeColor="text1"/>
          <w:lang w:val="pt-BR"/>
        </w:rPr>
        <w:t>eletrolisador</w:t>
      </w:r>
      <w:proofErr w:type="spellEnd"/>
      <w:r w:rsidRPr="0029245C">
        <w:rPr>
          <w:rFonts w:cs="Times New Roman"/>
          <w:color w:val="000000" w:themeColor="text1"/>
          <w:lang w:val="pt-BR"/>
        </w:rPr>
        <w:t xml:space="preserve"> 57%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{"citationItems":[{"id":"ITEM-1","itemData":{"DOI":"10.1016/j.ijhydene.2019.11.092","ISSN":"03603199","abstract":"Fuel cell vehicles are a possible alternative for allowing a replacement of fossil-fuel based transportation. Thereby, this work's methodology proposes a Hydrogen Refueling Station (HRS) design powered by a photovoltaic plant for supplying the taxi fleet in a Brazilian city considering different scenarios and assuming that hydrogen-powered vehicles replace the current fleet. Results show that in order to supply 100% of the taxi fleet with hydrogen, 185.4 kgH2/day are necessary, while only 19.8 kgH2/day are enough to supply just 10% of it. Results also reveal slight variations in energy intensity. Hydrogen production costs are inversely proportional to the HRS's production capacity. Hydrogen costs about US$ 8.96/kg for larger HRSs and US$ 13.55/kg for smaller ones. Finally, the proposed system is an attractive alternative in the future nationwide, due to the fact that the cost of electricity has been escalating year after year above inflation rates.","author":[{"dropping-particle":"","family":"Micena","given":"Raul Pereira","non-dropping-particle":"","parse-names":false,"suffix":""},{"dropping-particle":"","family":"Llerena-Pizarro","given":"Omar R.","non-dropping-particle":"","parse-names":false,"suffix":""},{"dropping-particle":"","family":"Souza","given":"Teófilo Miguel","non-dropping-particle":"de","parse-names":false,"suffix":""},{"dropping-particle":"","family":"Silveira","given":"José Luz","non-dropping-particle":"","parse-names":false,"suffix":""}],"container-title":"International Journal of Hydrogen Energy","id":"ITEM-1","issued":{"date-parts":[["2019"]]},"publisher":"Elsevier Ltd","title":"Solar-powered Hydrogen Refueling Stations: A techno-economic analysis","type":"article-journal"},"uris":["http://www.mendeley.com/documents/?uuid=f4e90b00-1268-3c71-aeb0-6fa4b6f45aad"]}],"mendeley":{"formattedCitation":"[15]","plainTextFormattedCitation":"[15]","previouslyFormattedCitation":"[15]"},"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[15]</w:t>
      </w:r>
      <w:r w:rsidRPr="00E63A98">
        <w:rPr>
          <w:rFonts w:cs="Times New Roman"/>
          <w:color w:val="000000" w:themeColor="text1"/>
        </w:rPr>
        <w:fldChar w:fldCharType="end"/>
      </w:r>
      <w:r w:rsidRPr="0029245C">
        <w:rPr>
          <w:rFonts w:cs="Times New Roman"/>
          <w:color w:val="000000" w:themeColor="text1"/>
          <w:lang w:val="pt-BR"/>
        </w:rPr>
        <w:t xml:space="preserve">, chaga-se a um potencial diário de produção de 107,4 kg de hidrogênio por meio da eletrólise da água com eletricidade gerada pela combustão em TG do biogás produzido com DA </w:t>
      </w:r>
      <w:proofErr w:type="spellStart"/>
      <w:r w:rsidRPr="0029245C">
        <w:rPr>
          <w:rFonts w:cs="Times New Roman"/>
          <w:color w:val="000000" w:themeColor="text1"/>
          <w:lang w:val="pt-BR"/>
        </w:rPr>
        <w:t>da</w:t>
      </w:r>
      <w:proofErr w:type="spellEnd"/>
      <w:r w:rsidRPr="0029245C">
        <w:rPr>
          <w:rFonts w:cs="Times New Roman"/>
          <w:color w:val="000000" w:themeColor="text1"/>
          <w:lang w:val="pt-BR"/>
        </w:rPr>
        <w:t xml:space="preserve"> FORSU gerado na cidade de Guaratinguetá, Brasil.</w:t>
      </w:r>
    </w:p>
    <w:p w14:paraId="5AD574AA" w14:textId="77777777" w:rsidR="0029245C" w:rsidRPr="0029245C" w:rsidRDefault="0029245C" w:rsidP="0029245C">
      <w:pPr>
        <w:rPr>
          <w:rFonts w:cs="Times New Roman"/>
          <w:color w:val="000000" w:themeColor="text1"/>
          <w:lang w:val="pt-BR"/>
        </w:rPr>
      </w:pPr>
    </w:p>
    <w:p w14:paraId="49E974E6" w14:textId="77777777" w:rsidR="0029245C" w:rsidRPr="0029245C" w:rsidRDefault="0029245C" w:rsidP="0029245C">
      <w:pPr>
        <w:pStyle w:val="Ttulo1"/>
        <w:keepNext/>
        <w:keepLines/>
        <w:numPr>
          <w:ilvl w:val="1"/>
          <w:numId w:val="26"/>
        </w:numPr>
        <w:spacing w:line="259" w:lineRule="auto"/>
        <w:ind w:left="0" w:firstLine="0"/>
        <w:contextualSpacing w:val="0"/>
        <w:jc w:val="left"/>
        <w:rPr>
          <w:color w:val="000000" w:themeColor="text1"/>
          <w:lang w:val="pt-BR"/>
        </w:rPr>
      </w:pPr>
      <w:r w:rsidRPr="0029245C">
        <w:rPr>
          <w:color w:val="000000" w:themeColor="text1"/>
          <w:lang w:val="pt-BR"/>
        </w:rPr>
        <w:t xml:space="preserve">Análise econômica da geração de </w:t>
      </w:r>
      <w:proofErr w:type="spellStart"/>
      <w:r w:rsidRPr="0029245C">
        <w:rPr>
          <w:color w:val="000000" w:themeColor="text1"/>
          <w:lang w:val="pt-BR"/>
        </w:rPr>
        <w:t>bioeletricidade</w:t>
      </w:r>
      <w:proofErr w:type="spellEnd"/>
    </w:p>
    <w:p w14:paraId="1C367EEA" w14:textId="77777777" w:rsidR="0029245C" w:rsidRPr="0029245C" w:rsidRDefault="0029245C" w:rsidP="0029245C">
      <w:pPr>
        <w:rPr>
          <w:lang w:val="pt-BR"/>
        </w:rPr>
      </w:pPr>
    </w:p>
    <w:p w14:paraId="0C04FA47" w14:textId="77777777" w:rsidR="008757FA" w:rsidRDefault="0029245C" w:rsidP="0029245C">
      <w:pPr>
        <w:rPr>
          <w:rFonts w:cs="Times New Roman"/>
          <w:color w:val="000000" w:themeColor="text1"/>
          <w:lang w:val="pt-BR"/>
        </w:rPr>
      </w:pPr>
      <w:r w:rsidRPr="0029245C">
        <w:rPr>
          <w:rFonts w:cs="Times New Roman"/>
          <w:color w:val="000000" w:themeColor="text1"/>
          <w:lang w:val="pt-BR"/>
        </w:rPr>
        <w:t>Os custos da energia elétrica gerada foram calculados com as equações [9] a [12], variando períodos de amortização entre 1 e 20 anos. Foi adotado um custo investimento de 720 USD/kW para a TG e 375 USD/</w:t>
      </w:r>
      <w:proofErr w:type="spellStart"/>
      <w:r w:rsidRPr="0029245C">
        <w:rPr>
          <w:rFonts w:cs="Times New Roman"/>
          <w:color w:val="000000" w:themeColor="text1"/>
          <w:lang w:val="pt-BR"/>
        </w:rPr>
        <w:t>ton</w:t>
      </w:r>
      <w:proofErr w:type="spellEnd"/>
      <w:r w:rsidRPr="0029245C">
        <w:rPr>
          <w:rFonts w:cs="Times New Roman"/>
          <w:color w:val="000000" w:themeColor="text1"/>
          <w:lang w:val="pt-BR"/>
        </w:rPr>
        <w:t xml:space="preserve">/dia o investimento no </w:t>
      </w:r>
      <w:proofErr w:type="gramStart"/>
      <w:r w:rsidRPr="0029245C">
        <w:rPr>
          <w:rFonts w:cs="Times New Roman"/>
          <w:color w:val="000000" w:themeColor="text1"/>
          <w:lang w:val="pt-BR"/>
        </w:rPr>
        <w:t>biodigestor  apropriado</w:t>
      </w:r>
      <w:proofErr w:type="gramEnd"/>
      <w:r w:rsidRPr="0029245C">
        <w:rPr>
          <w:rFonts w:cs="Times New Roman"/>
          <w:color w:val="000000" w:themeColor="text1"/>
          <w:lang w:val="pt-BR"/>
        </w:rPr>
        <w:t xml:space="preserve"> para DA de FORSU, em relação à sua capacidade diária de processamento. </w:t>
      </w:r>
    </w:p>
    <w:p w14:paraId="0EEFCB78" w14:textId="77777777" w:rsidR="008757FA" w:rsidRDefault="008757FA" w:rsidP="0029245C">
      <w:pPr>
        <w:rPr>
          <w:rFonts w:cs="Times New Roman"/>
          <w:color w:val="000000" w:themeColor="text1"/>
          <w:lang w:val="pt-BR"/>
        </w:rPr>
      </w:pPr>
    </w:p>
    <w:p w14:paraId="2D8B9207" w14:textId="3CEB010C" w:rsidR="008757FA" w:rsidRDefault="0029245C" w:rsidP="002C6241">
      <w:pPr>
        <w:rPr>
          <w:rFonts w:cs="Times New Roman"/>
          <w:color w:val="000000" w:themeColor="text1"/>
          <w:lang w:val="pt-BR"/>
        </w:rPr>
      </w:pPr>
      <w:r w:rsidRPr="0029245C">
        <w:rPr>
          <w:rFonts w:cs="Times New Roman"/>
          <w:color w:val="000000" w:themeColor="text1"/>
          <w:lang w:val="pt-BR"/>
        </w:rPr>
        <w:t>O custo de operação e manutenção da TG corresponde a 75 USD/kW/ano enquanto que para o reator anaeróbio este custo é de 38 USD/</w:t>
      </w:r>
      <w:proofErr w:type="spellStart"/>
      <w:r w:rsidRPr="0029245C">
        <w:rPr>
          <w:rFonts w:cs="Times New Roman"/>
          <w:color w:val="000000" w:themeColor="text1"/>
          <w:lang w:val="pt-BR"/>
        </w:rPr>
        <w:t>ton</w:t>
      </w:r>
      <w:proofErr w:type="spellEnd"/>
      <w:r w:rsidRPr="0029245C">
        <w:rPr>
          <w:rFonts w:cs="Times New Roman"/>
          <w:color w:val="000000" w:themeColor="text1"/>
          <w:lang w:val="pt-BR"/>
        </w:rPr>
        <w:t xml:space="preserve">/dia de capacidade. </w:t>
      </w:r>
    </w:p>
    <w:p w14:paraId="78369CBB" w14:textId="77777777" w:rsidR="00175F94" w:rsidRDefault="00175F94" w:rsidP="002C6241">
      <w:pPr>
        <w:rPr>
          <w:rFonts w:cs="Times New Roman"/>
          <w:color w:val="000000" w:themeColor="text1"/>
          <w:lang w:val="pt-BR"/>
        </w:rPr>
      </w:pPr>
    </w:p>
    <w:p w14:paraId="6BB1C03F" w14:textId="77777777" w:rsidR="00B97AC9" w:rsidRDefault="001B2E00" w:rsidP="008757FA">
      <w:pPr>
        <w:rPr>
          <w:rFonts w:cs="Times New Roman"/>
          <w:color w:val="000000" w:themeColor="text1"/>
          <w:lang w:val="pt-BR"/>
        </w:rPr>
      </w:pPr>
      <w:r w:rsidRPr="008757FA">
        <w:rPr>
          <w:rFonts w:cs="Times New Roman"/>
          <w:noProof/>
          <w:color w:val="000000" w:themeColor="text1"/>
          <w:lang w:val="pt-BR" w:eastAsia="pt-BR"/>
        </w:rPr>
        <mc:AlternateContent>
          <mc:Choice Requires="wps">
            <w:drawing>
              <wp:anchor distT="0" distB="0" distL="114300" distR="114300" simplePos="0" relativeHeight="251667456" behindDoc="0" locked="0" layoutInCell="1" allowOverlap="1" wp14:anchorId="4836EDC1" wp14:editId="3084DF1B">
                <wp:simplePos x="0" y="0"/>
                <wp:positionH relativeFrom="column">
                  <wp:posOffset>821690</wp:posOffset>
                </wp:positionH>
                <wp:positionV relativeFrom="paragraph">
                  <wp:posOffset>1434465</wp:posOffset>
                </wp:positionV>
                <wp:extent cx="3593465" cy="1403985"/>
                <wp:effectExtent l="0" t="0" r="6985" b="0"/>
                <wp:wrapTopAndBottom/>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403985"/>
                        </a:xfrm>
                        <a:prstGeom prst="rect">
                          <a:avLst/>
                        </a:prstGeom>
                        <a:solidFill>
                          <a:srgbClr val="FFFFFF"/>
                        </a:solidFill>
                        <a:ln w="9525">
                          <a:noFill/>
                          <a:miter lim="800000"/>
                          <a:headEnd/>
                          <a:tailEnd/>
                        </a:ln>
                      </wps:spPr>
                      <wps:txbx>
                        <w:txbxContent>
                          <w:p w14:paraId="734C4649" w14:textId="77777777" w:rsidR="0055406C" w:rsidRPr="0029245C" w:rsidRDefault="0055406C" w:rsidP="008757FA">
                            <w:pPr>
                              <w:jc w:val="center"/>
                              <w:rPr>
                                <w:rFonts w:cs="Times New Roman"/>
                                <w:color w:val="000000" w:themeColor="text1"/>
                                <w:lang w:val="pt-BR"/>
                              </w:rPr>
                            </w:pPr>
                            <w:r w:rsidRPr="0029245C">
                              <w:rPr>
                                <w:rFonts w:cs="Times New Roman"/>
                                <w:color w:val="000000" w:themeColor="text1"/>
                                <w:lang w:val="pt-BR"/>
                              </w:rPr>
                              <w:t xml:space="preserve">Figura </w:t>
                            </w:r>
                            <w:r>
                              <w:rPr>
                                <w:rFonts w:cs="Times New Roman"/>
                                <w:color w:val="000000" w:themeColor="text1"/>
                                <w:lang w:val="pt-BR"/>
                              </w:rPr>
                              <w:t>4</w:t>
                            </w:r>
                            <w:r w:rsidRPr="0029245C">
                              <w:rPr>
                                <w:rFonts w:cs="Times New Roman"/>
                                <w:color w:val="000000" w:themeColor="text1"/>
                                <w:lang w:val="pt-BR"/>
                              </w:rPr>
                              <w:t>: Custos da eletricidade (USD/</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em função do período de amortização.</w:t>
                            </w:r>
                          </w:p>
                          <w:p w14:paraId="503153B5" w14:textId="7A1DEB68" w:rsidR="0055406C" w:rsidRPr="00E63A98" w:rsidRDefault="00B97AC9" w:rsidP="008757FA">
                            <w:pPr>
                              <w:jc w:val="center"/>
                              <w:rPr>
                                <w:rFonts w:cs="Times New Roman"/>
                                <w:color w:val="000000" w:themeColor="text1"/>
                              </w:rPr>
                            </w:pPr>
                            <w:r w:rsidRPr="00B97AC9">
                              <w:rPr>
                                <w:noProof/>
                                <w:lang w:val="pt-BR" w:eastAsia="pt-BR"/>
                              </w:rPr>
                              <w:drawing>
                                <wp:inline distT="0" distB="0" distL="0" distR="0" wp14:anchorId="6EB0F84D" wp14:editId="5095552B">
                                  <wp:extent cx="3401695" cy="2599714"/>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1695" cy="2599714"/>
                                          </a:xfrm>
                                          <a:prstGeom prst="rect">
                                            <a:avLst/>
                                          </a:prstGeom>
                                          <a:noFill/>
                                          <a:ln>
                                            <a:noFill/>
                                          </a:ln>
                                        </pic:spPr>
                                      </pic:pic>
                                    </a:graphicData>
                                  </a:graphic>
                                </wp:inline>
                              </w:drawing>
                            </w:r>
                          </w:p>
                          <w:p w14:paraId="0F6523E5" w14:textId="77777777" w:rsidR="0055406C" w:rsidRPr="0029245C" w:rsidRDefault="0055406C" w:rsidP="008757FA">
                            <w:pPr>
                              <w:jc w:val="center"/>
                              <w:rPr>
                                <w:rFonts w:cs="Times New Roman"/>
                                <w:color w:val="000000" w:themeColor="text1"/>
                                <w:lang w:val="pt-BR"/>
                              </w:rPr>
                            </w:pPr>
                            <w:r w:rsidRPr="0029245C">
                              <w:rPr>
                                <w:rFonts w:cs="Times New Roman"/>
                                <w:color w:val="000000" w:themeColor="text1"/>
                                <w:lang w:val="pt-BR"/>
                              </w:rPr>
                              <w:t>Fonte: Elaboração própria.</w:t>
                            </w:r>
                          </w:p>
                          <w:p w14:paraId="74F1AC0C" w14:textId="3981AAA3" w:rsidR="0055406C" w:rsidRPr="008757FA" w:rsidRDefault="0055406C">
                            <w:pPr>
                              <w:rPr>
                                <w:lang w:val="pt-B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6EDC1" id="_x0000_s1030" type="#_x0000_t202" style="position:absolute;left:0;text-align:left;margin-left:64.7pt;margin-top:112.95pt;width:282.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YKQIAACoEAAAOAAAAZHJzL2Uyb0RvYy54bWysU9tu2zAMfR+wfxD0vjgXp0uMOEWXLsOA&#10;7gK0+wBGlmNhsqhJSuzs60fJaZptb8P8IJAmeUQeHq1u+1azo3ReoSn5ZDTmTBqBlTL7kn972r5Z&#10;cOYDmAo0Glnyk/T8dv361aqzhZxig7qSjhGI8UVnS96EYIss86KRLfgRWmkoWKNrIZDr9lnloCP0&#10;VmfT8fgm69BV1qGQ3tPf+yHI1wm/rqUIX+ray8B0yam3kE6Xzl08s/UKir0D2yhxbgP+oYsWlKFL&#10;L1D3EIAdnPoLqlXCocc6jAS2Gda1EjLNQNNMxn9M89iAlWkWIsfbC03+/8GKz8evjqmKdjfhzEBL&#10;O9qA6oFVkj3JPiCbRpI66wvKfbSUHfp32FNBGtjbBxTfPTO4acDs5Z1z2DUSKmpyEiuzq9IBx0eQ&#10;XfcJK7oMDgETUF+7NjJInDBCp2WdLguiPpign7P5cpbfzDkTFJvk49lyMU93QPFcbp0PHyS2LBol&#10;d6SABA/HBx9iO1A8p8TbPGpVbZXWyXH73UY7dgRSyzZ9Z/Tf0rRhXcmX8+k8IRuM9UlIrQqkZq3a&#10;ki/G8YvlUEQ63psq2QGUHmzqRJszP5GSgZzQ7/q0jzzWRu52WJ2IMIeDeOmxkdGg+8lZR8Ituf9x&#10;ACc50x8Nkb6c5HlUenLy+dspOe46sruOgBEEVfLA2WBuQnodiQ57R8vZqkTbSyfnlkmQic3z44mK&#10;v/ZT1ssTX/8CAAD//wMAUEsDBBQABgAIAAAAIQCKHtFI4AAAAAsBAAAPAAAAZHJzL2Rvd25yZXYu&#10;eG1sTI/BTsMwEETvSPyDtUjcqENICglxqoqKCwckChIc3diJI+K1Zbtp+HuWEz2O9mnmbbNZ7MRm&#10;HeLoUMDtKgOmsXNqxEHAx/vzzQOwmCQqOTnUAn50hE17edHIWrkTvul5nwZGJRhrKcCk5GvOY2e0&#10;lXHlvEa69S5YmSiGgasgT1RuJ55n2ZpbOSItGOn1k9Hd9/5oBXxaM6pdeP3q1TTvXvpt6Zfghbi+&#10;WraPwJJe0j8Mf/qkDi05HdwRVWQT5bwqCBWQ52UFjIh1Vd4BOwgoivsMeNvw8x/aXwAAAP//AwBQ&#10;SwECLQAUAAYACAAAACEAtoM4kv4AAADhAQAAEwAAAAAAAAAAAAAAAAAAAAAAW0NvbnRlbnRfVHlw&#10;ZXNdLnhtbFBLAQItABQABgAIAAAAIQA4/SH/1gAAAJQBAAALAAAAAAAAAAAAAAAAAC8BAABfcmVs&#10;cy8ucmVsc1BLAQItABQABgAIAAAAIQACS+eYKQIAACoEAAAOAAAAAAAAAAAAAAAAAC4CAABkcnMv&#10;ZTJvRG9jLnhtbFBLAQItABQABgAIAAAAIQCKHtFI4AAAAAsBAAAPAAAAAAAAAAAAAAAAAIMEAABk&#10;cnMvZG93bnJldi54bWxQSwUGAAAAAAQABADzAAAAkAUAAAAA&#10;" stroked="f">
                <v:textbox style="mso-fit-shape-to-text:t">
                  <w:txbxContent>
                    <w:p w14:paraId="734C4649" w14:textId="77777777" w:rsidR="0055406C" w:rsidRPr="0029245C" w:rsidRDefault="0055406C" w:rsidP="008757FA">
                      <w:pPr>
                        <w:jc w:val="center"/>
                        <w:rPr>
                          <w:rFonts w:cs="Times New Roman"/>
                          <w:color w:val="000000" w:themeColor="text1"/>
                          <w:lang w:val="pt-BR"/>
                        </w:rPr>
                      </w:pPr>
                      <w:r w:rsidRPr="0029245C">
                        <w:rPr>
                          <w:rFonts w:cs="Times New Roman"/>
                          <w:color w:val="000000" w:themeColor="text1"/>
                          <w:lang w:val="pt-BR"/>
                        </w:rPr>
                        <w:t xml:space="preserve">Figura </w:t>
                      </w:r>
                      <w:r>
                        <w:rPr>
                          <w:rFonts w:cs="Times New Roman"/>
                          <w:color w:val="000000" w:themeColor="text1"/>
                          <w:lang w:val="pt-BR"/>
                        </w:rPr>
                        <w:t>4</w:t>
                      </w:r>
                      <w:r w:rsidRPr="0029245C">
                        <w:rPr>
                          <w:rFonts w:cs="Times New Roman"/>
                          <w:color w:val="000000" w:themeColor="text1"/>
                          <w:lang w:val="pt-BR"/>
                        </w:rPr>
                        <w:t>: Custos da eletricidade (USD/MWh) em função do período de amortização.</w:t>
                      </w:r>
                    </w:p>
                    <w:p w14:paraId="503153B5" w14:textId="7A1DEB68" w:rsidR="0055406C" w:rsidRPr="00E63A98" w:rsidRDefault="00B97AC9" w:rsidP="008757FA">
                      <w:pPr>
                        <w:jc w:val="center"/>
                        <w:rPr>
                          <w:rFonts w:cs="Times New Roman"/>
                          <w:color w:val="000000" w:themeColor="text1"/>
                        </w:rPr>
                      </w:pPr>
                      <w:r w:rsidRPr="00B97AC9">
                        <w:rPr>
                          <w:noProof/>
                          <w:lang w:val="pt-BR" w:eastAsia="pt-BR"/>
                        </w:rPr>
                        <w:drawing>
                          <wp:inline distT="0" distB="0" distL="0" distR="0" wp14:anchorId="6EB0F84D" wp14:editId="5095552B">
                            <wp:extent cx="3401695" cy="2599714"/>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1695" cy="2599714"/>
                                    </a:xfrm>
                                    <a:prstGeom prst="rect">
                                      <a:avLst/>
                                    </a:prstGeom>
                                    <a:noFill/>
                                    <a:ln>
                                      <a:noFill/>
                                    </a:ln>
                                  </pic:spPr>
                                </pic:pic>
                              </a:graphicData>
                            </a:graphic>
                          </wp:inline>
                        </w:drawing>
                      </w:r>
                    </w:p>
                    <w:p w14:paraId="0F6523E5" w14:textId="77777777" w:rsidR="0055406C" w:rsidRPr="0029245C" w:rsidRDefault="0055406C" w:rsidP="008757FA">
                      <w:pPr>
                        <w:jc w:val="center"/>
                        <w:rPr>
                          <w:rFonts w:cs="Times New Roman"/>
                          <w:color w:val="000000" w:themeColor="text1"/>
                          <w:lang w:val="pt-BR"/>
                        </w:rPr>
                      </w:pPr>
                      <w:r w:rsidRPr="0029245C">
                        <w:rPr>
                          <w:rFonts w:cs="Times New Roman"/>
                          <w:color w:val="000000" w:themeColor="text1"/>
                          <w:lang w:val="pt-BR"/>
                        </w:rPr>
                        <w:t>Fonte: Elaboração própria.</w:t>
                      </w:r>
                    </w:p>
                    <w:p w14:paraId="74F1AC0C" w14:textId="3981AAA3" w:rsidR="0055406C" w:rsidRPr="008757FA" w:rsidRDefault="0055406C">
                      <w:pPr>
                        <w:rPr>
                          <w:lang w:val="pt-BR"/>
                        </w:rPr>
                      </w:pPr>
                    </w:p>
                  </w:txbxContent>
                </v:textbox>
                <w10:wrap type="topAndBottom"/>
              </v:shape>
            </w:pict>
          </mc:Fallback>
        </mc:AlternateContent>
      </w:r>
      <w:r w:rsidR="0029245C" w:rsidRPr="0029245C">
        <w:rPr>
          <w:rFonts w:cs="Times New Roman"/>
          <w:color w:val="000000" w:themeColor="text1"/>
          <w:lang w:val="pt-BR"/>
        </w:rPr>
        <w:t xml:space="preserve">A Figura </w:t>
      </w:r>
      <w:r w:rsidR="00D6608E">
        <w:rPr>
          <w:rFonts w:cs="Times New Roman"/>
          <w:color w:val="000000" w:themeColor="text1"/>
          <w:lang w:val="pt-BR"/>
        </w:rPr>
        <w:t>4</w:t>
      </w:r>
      <w:r w:rsidR="0029245C" w:rsidRPr="0029245C">
        <w:rPr>
          <w:rFonts w:cs="Times New Roman"/>
          <w:color w:val="000000" w:themeColor="text1"/>
          <w:lang w:val="pt-BR"/>
        </w:rPr>
        <w:t xml:space="preserve"> mostra os custos de geração de eletricidade em função do período de amortização, calculados considerando taxas de juros de 4% e 8% ao ano, além da taxa básica de juros da economia brasileira, SELIC, de 13,24%. </w:t>
      </w:r>
    </w:p>
    <w:p w14:paraId="4C817CD0" w14:textId="77777777" w:rsidR="00B97AC9" w:rsidRDefault="00B97AC9" w:rsidP="008757FA">
      <w:pPr>
        <w:rPr>
          <w:rFonts w:cs="Times New Roman"/>
          <w:color w:val="000000" w:themeColor="text1"/>
          <w:lang w:val="pt-BR"/>
        </w:rPr>
      </w:pPr>
    </w:p>
    <w:p w14:paraId="33CEAE68" w14:textId="77777777" w:rsidR="00B97AC9" w:rsidRDefault="00B97AC9" w:rsidP="008757FA">
      <w:pPr>
        <w:rPr>
          <w:rFonts w:cs="Times New Roman"/>
          <w:color w:val="000000" w:themeColor="text1"/>
          <w:lang w:val="pt-BR"/>
        </w:rPr>
      </w:pPr>
    </w:p>
    <w:p w14:paraId="40C9CC4A" w14:textId="77777777" w:rsidR="00B97AC9" w:rsidRDefault="00B97AC9" w:rsidP="008757FA">
      <w:pPr>
        <w:rPr>
          <w:rFonts w:cs="Times New Roman"/>
          <w:color w:val="000000" w:themeColor="text1"/>
          <w:lang w:val="pt-BR"/>
        </w:rPr>
      </w:pPr>
    </w:p>
    <w:p w14:paraId="1B0598F6" w14:textId="77777777" w:rsidR="00B97AC9" w:rsidRDefault="00B97AC9" w:rsidP="008757FA">
      <w:pPr>
        <w:rPr>
          <w:rFonts w:cs="Times New Roman"/>
          <w:color w:val="000000" w:themeColor="text1"/>
          <w:lang w:val="pt-BR"/>
        </w:rPr>
      </w:pPr>
    </w:p>
    <w:p w14:paraId="00C55126" w14:textId="77777777" w:rsidR="00B97AC9" w:rsidRDefault="00B97AC9" w:rsidP="008757FA">
      <w:pPr>
        <w:rPr>
          <w:rFonts w:cs="Times New Roman"/>
          <w:color w:val="000000" w:themeColor="text1"/>
          <w:lang w:val="pt-BR"/>
        </w:rPr>
      </w:pPr>
    </w:p>
    <w:p w14:paraId="5460E07F" w14:textId="1D2917C4" w:rsidR="0029245C" w:rsidRDefault="0029245C" w:rsidP="008757FA">
      <w:pPr>
        <w:rPr>
          <w:rFonts w:cs="Times New Roman"/>
          <w:color w:val="000000" w:themeColor="text1"/>
          <w:lang w:val="pt-BR"/>
        </w:rPr>
      </w:pPr>
      <w:r w:rsidRPr="0029245C">
        <w:rPr>
          <w:rFonts w:cs="Times New Roman"/>
          <w:color w:val="000000" w:themeColor="text1"/>
          <w:lang w:val="pt-BR"/>
        </w:rPr>
        <w:t>Com isso, para um prazo de 5 anos, chegou-se a um custo de 34,68 USD/</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xml:space="preserve"> para a taxa de juros de 4</w:t>
      </w:r>
      <w:proofErr w:type="gramStart"/>
      <w:r w:rsidRPr="0029245C">
        <w:rPr>
          <w:rFonts w:cs="Times New Roman"/>
          <w:color w:val="000000" w:themeColor="text1"/>
          <w:lang w:val="pt-BR"/>
        </w:rPr>
        <w:t xml:space="preserve">%,  </w:t>
      </w:r>
      <w:r w:rsidRPr="0029245C">
        <w:rPr>
          <w:rFonts w:cs="Times New Roman"/>
          <w:color w:val="000000" w:themeColor="text1"/>
          <w:lang w:val="pt-BR"/>
        </w:rPr>
        <w:lastRenderedPageBreak/>
        <w:t>37</w:t>
      </w:r>
      <w:proofErr w:type="gramEnd"/>
      <w:r w:rsidRPr="0029245C">
        <w:rPr>
          <w:rFonts w:cs="Times New Roman"/>
          <w:color w:val="000000" w:themeColor="text1"/>
          <w:lang w:val="pt-BR"/>
        </w:rPr>
        <w:t>,41 USD/</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xml:space="preserve"> para a taxa de juros de 8% e 41,16 USD/</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xml:space="preserve"> para a taxa SELIC de 13,25% a.a. </w:t>
      </w:r>
    </w:p>
    <w:p w14:paraId="18AF1232" w14:textId="77777777" w:rsidR="00B97AC9" w:rsidRDefault="00B97AC9" w:rsidP="008757FA">
      <w:pPr>
        <w:rPr>
          <w:rFonts w:cs="Times New Roman"/>
          <w:color w:val="000000" w:themeColor="text1"/>
          <w:lang w:val="pt-BR"/>
        </w:rPr>
      </w:pPr>
    </w:p>
    <w:p w14:paraId="23914C9E" w14:textId="26FA5DEE" w:rsidR="0029245C" w:rsidRDefault="0029245C" w:rsidP="0029245C">
      <w:pPr>
        <w:rPr>
          <w:rFonts w:cs="Times New Roman"/>
          <w:color w:val="000000" w:themeColor="text1"/>
          <w:lang w:val="pt-BR"/>
        </w:rPr>
      </w:pPr>
      <w:r w:rsidRPr="0029245C">
        <w:rPr>
          <w:rFonts w:cs="Times New Roman"/>
          <w:color w:val="000000" w:themeColor="text1"/>
          <w:lang w:val="pt-BR"/>
        </w:rPr>
        <w:t xml:space="preserve">Comparativamente à Tarifa Elétrica (TE) local atual de </w:t>
      </w:r>
      <w:r w:rsidR="00B97AC9">
        <w:rPr>
          <w:rFonts w:cs="Times New Roman"/>
          <w:color w:val="000000" w:themeColor="text1"/>
          <w:lang w:val="pt-BR"/>
        </w:rPr>
        <w:t>4</w:t>
      </w:r>
      <w:r w:rsidRPr="0029245C">
        <w:rPr>
          <w:rFonts w:cs="Times New Roman"/>
          <w:color w:val="000000" w:themeColor="text1"/>
          <w:lang w:val="pt-BR"/>
        </w:rPr>
        <w:t>3,98 USD/</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xml:space="preserve">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{"citationItems":[{"id":"ITEM-1","itemData":{"URL":"https://www.edp.com.br/distribuicao-sp/saiba-mais/informativos/tabela-de-fornecimento-baixa-tensao","accessed":{"date-parts":[["2022","7","22"]]},"id":"ITEM-1","issued":{"date-parts":[["0"]]},"title":"Tarifas - clientes atendidos em Baixa Tensão (Grupo B)","type":"webpage"},"uris":["http://www.mendeley.com/documents/?uuid=6765487a-f7f9-305a-8948-3450001a5716"]}],"mendeley":{"formattedCitation":"[16]","plainTextFormattedCitation":"[16]","previouslyFormattedCitation":"[16]"},"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[16]</w:t>
      </w:r>
      <w:r w:rsidRPr="00E63A98">
        <w:rPr>
          <w:rFonts w:cs="Times New Roman"/>
          <w:color w:val="000000" w:themeColor="text1"/>
        </w:rPr>
        <w:fldChar w:fldCharType="end"/>
      </w:r>
      <w:r w:rsidRPr="0029245C">
        <w:rPr>
          <w:rFonts w:cs="Times New Roman"/>
          <w:color w:val="000000" w:themeColor="text1"/>
          <w:lang w:val="pt-BR"/>
        </w:rPr>
        <w:t xml:space="preserve">, com taxa de câmbio de 5,45 BRL/USD </w:t>
      </w:r>
      <w:r w:rsidR="00B97AC9">
        <w:rPr>
          <w:rFonts w:cs="Times New Roman"/>
          <w:color w:val="000000" w:themeColor="text1"/>
          <w:lang w:val="pt-BR"/>
        </w:rPr>
        <w:t>descontada de</w:t>
      </w:r>
      <w:r w:rsidRPr="0029245C">
        <w:rPr>
          <w:rFonts w:cs="Times New Roman"/>
          <w:color w:val="000000" w:themeColor="text1"/>
          <w:lang w:val="pt-BR"/>
        </w:rPr>
        <w:t xml:space="preserve"> uma inflação de 6,72% a.a., a média nacional nos últimos 10 anos </w:t>
      </w:r>
      <w:r w:rsidRPr="00E63A98">
        <w:rPr>
          <w:rFonts w:cs="Times New Roman"/>
          <w:color w:val="000000" w:themeColor="text1"/>
        </w:rPr>
        <w:fldChar w:fldCharType="begin" w:fldLock="1"/>
      </w:r>
      <w:r w:rsidRPr="0029245C">
        <w:rPr>
          <w:rFonts w:cs="Times New Roman"/>
          <w:color w:val="000000" w:themeColor="text1"/>
          <w:lang w:val="pt-BR"/>
        </w:rPr>
        <w:instrText>ADDIN CSL_CITATION {"citationItems":[{"id":"ITEM-1","itemData":{"URL":"https://www.ibge.gov.br/explica/inflacao.php","accessed":{"date-parts":[["2022","7","22"]]},"id":"ITEM-1","issued":{"date-parts":[["0"]]},"title":"Inflação | IBGE","type":"webpage"},"uris":["http://www.mendeley.com/documents/?uuid=942223d7-d2ce-35d7-9b58-8d6535fc9020"]}],"mendeley":{"formattedCitation":"[17]","plainTextFormattedCitation":"[17]"},"properties":{"noteIndex":0},"schema":"https://github.com/citation-style-language/schema/raw/master/csl-citation.json"}</w:instrText>
      </w:r>
      <w:r w:rsidRPr="00E63A98">
        <w:rPr>
          <w:rFonts w:cs="Times New Roman"/>
          <w:color w:val="000000" w:themeColor="text1"/>
        </w:rPr>
        <w:fldChar w:fldCharType="separate"/>
      </w:r>
      <w:r w:rsidRPr="0029245C">
        <w:rPr>
          <w:rFonts w:cs="Times New Roman"/>
          <w:noProof/>
          <w:color w:val="000000" w:themeColor="text1"/>
          <w:lang w:val="pt-BR"/>
        </w:rPr>
        <w:t>[17]</w:t>
      </w:r>
      <w:r w:rsidRPr="00E63A98">
        <w:rPr>
          <w:rFonts w:cs="Times New Roman"/>
          <w:color w:val="000000" w:themeColor="text1"/>
        </w:rPr>
        <w:fldChar w:fldCharType="end"/>
      </w:r>
      <w:r w:rsidRPr="0029245C">
        <w:rPr>
          <w:rFonts w:cs="Times New Roman"/>
          <w:color w:val="000000" w:themeColor="text1"/>
          <w:lang w:val="pt-BR"/>
        </w:rPr>
        <w:t xml:space="preserve">, os </w:t>
      </w:r>
      <w:proofErr w:type="spellStart"/>
      <w:r w:rsidRPr="0029245C">
        <w:rPr>
          <w:rFonts w:cs="Times New Roman"/>
          <w:color w:val="000000" w:themeColor="text1"/>
          <w:lang w:val="pt-BR"/>
        </w:rPr>
        <w:t>paybacks</w:t>
      </w:r>
      <w:proofErr w:type="spellEnd"/>
      <w:r w:rsidRPr="0029245C">
        <w:rPr>
          <w:rFonts w:cs="Times New Roman"/>
          <w:color w:val="000000" w:themeColor="text1"/>
          <w:lang w:val="pt-BR"/>
        </w:rPr>
        <w:t xml:space="preserve"> do investimento, para os 3 cenários, se dão entre o </w:t>
      </w:r>
      <w:r w:rsidR="00B97AC9">
        <w:rPr>
          <w:rFonts w:cs="Times New Roman"/>
          <w:color w:val="000000" w:themeColor="text1"/>
          <w:lang w:val="pt-BR"/>
        </w:rPr>
        <w:t>4</w:t>
      </w:r>
      <w:r w:rsidRPr="0029245C">
        <w:rPr>
          <w:rFonts w:cs="Times New Roman"/>
          <w:color w:val="000000" w:themeColor="text1"/>
          <w:lang w:val="pt-BR"/>
        </w:rPr>
        <w:t xml:space="preserve">º e o </w:t>
      </w:r>
      <w:r w:rsidR="00B97AC9">
        <w:rPr>
          <w:rFonts w:cs="Times New Roman"/>
          <w:color w:val="000000" w:themeColor="text1"/>
          <w:lang w:val="pt-BR"/>
        </w:rPr>
        <w:t>5</w:t>
      </w:r>
      <w:r w:rsidRPr="0029245C">
        <w:rPr>
          <w:rFonts w:cs="Times New Roman"/>
          <w:color w:val="000000" w:themeColor="text1"/>
          <w:lang w:val="pt-BR"/>
        </w:rPr>
        <w:t>º ano.</w:t>
      </w:r>
    </w:p>
    <w:p w14:paraId="37821AED" w14:textId="77777777" w:rsidR="00F546DD" w:rsidRDefault="00F546DD" w:rsidP="0029245C">
      <w:pPr>
        <w:rPr>
          <w:rFonts w:cs="Times New Roman"/>
          <w:color w:val="000000" w:themeColor="text1"/>
          <w:lang w:val="pt-BR"/>
        </w:rPr>
      </w:pPr>
    </w:p>
    <w:p w14:paraId="472BA8A3" w14:textId="77777777" w:rsidR="0029245C" w:rsidRDefault="0029245C" w:rsidP="0029245C">
      <w:pPr>
        <w:pStyle w:val="Ttulo1"/>
        <w:keepNext/>
        <w:keepLines/>
        <w:numPr>
          <w:ilvl w:val="0"/>
          <w:numId w:val="26"/>
        </w:numPr>
        <w:spacing w:line="259" w:lineRule="auto"/>
        <w:contextualSpacing w:val="0"/>
        <w:jc w:val="left"/>
        <w:rPr>
          <w:color w:val="000000" w:themeColor="text1"/>
        </w:rPr>
      </w:pPr>
      <w:proofErr w:type="spellStart"/>
      <w:r w:rsidRPr="00E63A98">
        <w:rPr>
          <w:color w:val="000000" w:themeColor="text1"/>
        </w:rPr>
        <w:t>Conclusões</w:t>
      </w:r>
      <w:proofErr w:type="spellEnd"/>
    </w:p>
    <w:p w14:paraId="70F15246" w14:textId="77777777" w:rsidR="0029245C" w:rsidRPr="00E13DE6" w:rsidRDefault="0029245C" w:rsidP="0029245C"/>
    <w:p w14:paraId="74EE3832" w14:textId="77777777" w:rsidR="0029245C" w:rsidRDefault="0029245C" w:rsidP="00B97AC9">
      <w:pPr>
        <w:spacing w:after="240"/>
        <w:rPr>
          <w:rFonts w:cs="Times New Roman"/>
          <w:color w:val="000000" w:themeColor="text1"/>
          <w:lang w:val="pt-BR"/>
        </w:rPr>
      </w:pPr>
      <w:r w:rsidRPr="0029245C">
        <w:rPr>
          <w:rFonts w:cs="Times New Roman"/>
          <w:color w:val="000000" w:themeColor="text1"/>
          <w:lang w:val="pt-BR"/>
        </w:rPr>
        <w:t>Considerando uma geração de 104,4 toneladas diárias de RSU na cidade de Guaratinguetá, Brasil, sendo 45,3% sua fração orgânica, foi calculado um potencial de produção de 3.125 Nm</w:t>
      </w:r>
      <w:r w:rsidRPr="00D6550E">
        <w:rPr>
          <w:rFonts w:cs="Times New Roman"/>
          <w:color w:val="000000" w:themeColor="text1"/>
          <w:vertAlign w:val="superscript"/>
          <w:lang w:val="pt-BR"/>
        </w:rPr>
        <w:t>3</w:t>
      </w:r>
      <w:r w:rsidRPr="0029245C">
        <w:rPr>
          <w:rFonts w:cs="Times New Roman"/>
          <w:color w:val="000000" w:themeColor="text1"/>
          <w:lang w:val="pt-BR"/>
        </w:rPr>
        <w:t xml:space="preserve">/dia de biogás a partir da </w:t>
      </w:r>
      <w:proofErr w:type="spellStart"/>
      <w:r w:rsidRPr="0029245C">
        <w:rPr>
          <w:rFonts w:cs="Times New Roman"/>
          <w:color w:val="000000" w:themeColor="text1"/>
          <w:lang w:val="pt-BR"/>
        </w:rPr>
        <w:t>DA</w:t>
      </w:r>
      <w:proofErr w:type="spellEnd"/>
      <w:r w:rsidRPr="0029245C">
        <w:rPr>
          <w:rFonts w:cs="Times New Roman"/>
          <w:color w:val="000000" w:themeColor="text1"/>
          <w:lang w:val="pt-BR"/>
        </w:rPr>
        <w:t xml:space="preserve"> desta parte do resíduo, o equivalente a 3.603 kg/dia de biogás com PCI de 20,19 MJ/kg. Considerando a queima deste gás em uma turbina a gás (ciclo </w:t>
      </w:r>
      <w:proofErr w:type="spellStart"/>
      <w:r w:rsidRPr="0029245C">
        <w:rPr>
          <w:rFonts w:cs="Times New Roman"/>
          <w:color w:val="000000" w:themeColor="text1"/>
          <w:lang w:val="pt-BR"/>
        </w:rPr>
        <w:t>Brayton</w:t>
      </w:r>
      <w:proofErr w:type="spellEnd"/>
      <w:r w:rsidRPr="0029245C">
        <w:rPr>
          <w:rFonts w:cs="Times New Roman"/>
          <w:color w:val="000000" w:themeColor="text1"/>
          <w:lang w:val="pt-BR"/>
        </w:rPr>
        <w:t xml:space="preserve">) é possível gerar 6,34 </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/dia de eletricidade. Se utilizado o processo de eletrólise da água com 57% de eficiência, é possível, com a utilização de todo este potencial elétrico, produzir-se 107,4 kg de hidrogênio por dia.</w:t>
      </w:r>
    </w:p>
    <w:p w14:paraId="4DE3A782" w14:textId="5E11B028" w:rsidR="0030265D" w:rsidRDefault="0030265D" w:rsidP="0029245C">
      <w:pPr>
        <w:rPr>
          <w:rFonts w:cs="Times New Roman"/>
          <w:color w:val="000000" w:themeColor="text1"/>
          <w:lang w:val="pt-BR"/>
        </w:rPr>
      </w:pPr>
      <w:r>
        <w:rPr>
          <w:rFonts w:cs="Times New Roman"/>
          <w:color w:val="000000" w:themeColor="text1"/>
          <w:lang w:val="pt-BR"/>
        </w:rPr>
        <w:t xml:space="preserve">Em relação ao total de RSU produzido diariamente na cidade de Guaratinguetá, tal potencial elétrico significa uma geração de 60,96 kWh por tonelada de RSU coleado. Tratando-se de geração renovável de eletricidade no local da destinação, este potencial de geração habilita uma aplicação útil ao processamento destes </w:t>
      </w:r>
      <w:r w:rsidR="00B97AC9">
        <w:rPr>
          <w:rFonts w:cs="Times New Roman"/>
          <w:color w:val="000000" w:themeColor="text1"/>
          <w:lang w:val="pt-BR"/>
        </w:rPr>
        <w:t xml:space="preserve">mesmos </w:t>
      </w:r>
      <w:r>
        <w:rPr>
          <w:rFonts w:cs="Times New Roman"/>
          <w:color w:val="000000" w:themeColor="text1"/>
          <w:lang w:val="pt-BR"/>
        </w:rPr>
        <w:t>resíduos, possibilitando menores emissões de CO</w:t>
      </w:r>
      <w:r w:rsidRPr="00C263F7">
        <w:rPr>
          <w:rFonts w:cs="Times New Roman"/>
          <w:color w:val="000000" w:themeColor="text1"/>
          <w:vertAlign w:val="subscript"/>
          <w:lang w:val="pt-BR"/>
        </w:rPr>
        <w:t>2</w:t>
      </w:r>
      <w:r>
        <w:rPr>
          <w:rFonts w:cs="Times New Roman"/>
          <w:color w:val="000000" w:themeColor="text1"/>
          <w:lang w:val="pt-BR"/>
        </w:rPr>
        <w:t xml:space="preserve"> relativas ao tratamento dos RSU.</w:t>
      </w:r>
    </w:p>
    <w:p w14:paraId="319DFA39" w14:textId="77777777" w:rsidR="0030265D" w:rsidRDefault="0030265D" w:rsidP="0029245C">
      <w:pPr>
        <w:rPr>
          <w:rFonts w:cs="Times New Roman"/>
          <w:color w:val="000000" w:themeColor="text1"/>
          <w:lang w:val="pt-BR"/>
        </w:rPr>
      </w:pPr>
    </w:p>
    <w:p w14:paraId="4300BC8C" w14:textId="4EF9B321" w:rsidR="00845BFA" w:rsidRDefault="0030265D" w:rsidP="0029245C">
      <w:pPr>
        <w:rPr>
          <w:rFonts w:cs="Times New Roman"/>
          <w:color w:val="000000" w:themeColor="text1"/>
          <w:lang w:val="pt-BR"/>
        </w:rPr>
      </w:pPr>
      <w:r>
        <w:rPr>
          <w:rFonts w:cs="Times New Roman"/>
          <w:color w:val="000000" w:themeColor="text1"/>
          <w:lang w:val="pt-BR"/>
        </w:rPr>
        <w:t>Dessa forma</w:t>
      </w:r>
      <w:r w:rsidR="0029245C" w:rsidRPr="0029245C">
        <w:rPr>
          <w:rFonts w:cs="Times New Roman"/>
          <w:color w:val="000000" w:themeColor="text1"/>
          <w:lang w:val="pt-BR"/>
        </w:rPr>
        <w:t xml:space="preserve">, foi possível estimar o potencial de geração elétrica a partir da </w:t>
      </w:r>
      <w:proofErr w:type="spellStart"/>
      <w:r w:rsidR="0029245C" w:rsidRPr="0029245C">
        <w:rPr>
          <w:rFonts w:cs="Times New Roman"/>
          <w:color w:val="000000" w:themeColor="text1"/>
          <w:lang w:val="pt-BR"/>
        </w:rPr>
        <w:t>DA</w:t>
      </w:r>
      <w:proofErr w:type="spellEnd"/>
      <w:r w:rsidR="0029245C" w:rsidRPr="0029245C">
        <w:rPr>
          <w:rFonts w:cs="Times New Roman"/>
          <w:color w:val="000000" w:themeColor="text1"/>
          <w:lang w:val="pt-BR"/>
        </w:rPr>
        <w:t xml:space="preserve"> </w:t>
      </w:r>
      <w:proofErr w:type="spellStart"/>
      <w:r w:rsidR="0029245C" w:rsidRPr="0029245C">
        <w:rPr>
          <w:rFonts w:cs="Times New Roman"/>
          <w:color w:val="000000" w:themeColor="text1"/>
          <w:lang w:val="pt-BR"/>
        </w:rPr>
        <w:t>da</w:t>
      </w:r>
      <w:proofErr w:type="spellEnd"/>
      <w:r w:rsidR="0029245C" w:rsidRPr="0029245C">
        <w:rPr>
          <w:rFonts w:cs="Times New Roman"/>
          <w:color w:val="000000" w:themeColor="text1"/>
          <w:lang w:val="pt-BR"/>
        </w:rPr>
        <w:t xml:space="preserve"> FORSU de um </w:t>
      </w:r>
      <w:r w:rsidR="0029245C" w:rsidRPr="0029245C">
        <w:rPr>
          <w:rFonts w:cs="Times New Roman"/>
          <w:color w:val="000000" w:themeColor="text1"/>
          <w:lang w:val="pt-BR"/>
        </w:rPr>
        <w:lastRenderedPageBreak/>
        <w:t xml:space="preserve">município de médio porte, o que é de interesse público, tanto na esfera energética, sendo possível gerar esta energia próxima ao centro consumidor, como também ambiental, uma vez que se deixa de emitir metano na atmosfera. </w:t>
      </w:r>
    </w:p>
    <w:p w14:paraId="635DE652" w14:textId="77777777" w:rsidR="00845BFA" w:rsidRDefault="00845BFA" w:rsidP="0029245C">
      <w:pPr>
        <w:rPr>
          <w:rFonts w:cs="Times New Roman"/>
          <w:color w:val="000000" w:themeColor="text1"/>
          <w:lang w:val="pt-BR"/>
        </w:rPr>
      </w:pPr>
    </w:p>
    <w:p w14:paraId="71EEBE3D" w14:textId="1AD9E987" w:rsidR="0029245C" w:rsidRDefault="0029245C" w:rsidP="0029245C">
      <w:pPr>
        <w:rPr>
          <w:rFonts w:cs="Times New Roman"/>
          <w:color w:val="000000" w:themeColor="text1"/>
          <w:lang w:val="pt-BR"/>
        </w:rPr>
      </w:pPr>
      <w:r w:rsidRPr="0029245C">
        <w:rPr>
          <w:rFonts w:cs="Times New Roman"/>
          <w:color w:val="000000" w:themeColor="text1"/>
          <w:lang w:val="pt-BR"/>
        </w:rPr>
        <w:t>A possibilidade de produção de hidrogênio permite uma flexibilidade do uso energético deste biogás, podendo ser aplicado no setor de transporte ou como um tipo de armazenamento de energia.</w:t>
      </w:r>
    </w:p>
    <w:p w14:paraId="304E6ECF" w14:textId="77777777" w:rsidR="0029245C" w:rsidRPr="0029245C" w:rsidRDefault="0029245C" w:rsidP="0029245C">
      <w:pPr>
        <w:rPr>
          <w:rFonts w:cs="Times New Roman"/>
          <w:color w:val="000000" w:themeColor="text1"/>
          <w:lang w:val="pt-BR"/>
        </w:rPr>
      </w:pPr>
    </w:p>
    <w:p w14:paraId="6F050F89" w14:textId="6DAE9D6C" w:rsidR="0029245C" w:rsidRDefault="0029245C" w:rsidP="0029245C">
      <w:pPr>
        <w:rPr>
          <w:rFonts w:cs="Times New Roman"/>
          <w:color w:val="000000" w:themeColor="text1"/>
          <w:lang w:val="pt-BR"/>
        </w:rPr>
      </w:pPr>
      <w:r w:rsidRPr="0029245C">
        <w:rPr>
          <w:rFonts w:cs="Times New Roman"/>
          <w:color w:val="000000" w:themeColor="text1"/>
          <w:lang w:val="pt-BR"/>
        </w:rPr>
        <w:t>Por fim, a análise econômica permitiu estima-se o custo da geração desta eletricidade, chegando a um valor entre 34,68 e 41,16 USD/</w:t>
      </w:r>
      <w:proofErr w:type="spellStart"/>
      <w:r w:rsidRPr="0029245C">
        <w:rPr>
          <w:rFonts w:cs="Times New Roman"/>
          <w:color w:val="000000" w:themeColor="text1"/>
          <w:lang w:val="pt-BR"/>
        </w:rPr>
        <w:t>MWh</w:t>
      </w:r>
      <w:proofErr w:type="spellEnd"/>
      <w:r w:rsidRPr="0029245C">
        <w:rPr>
          <w:rFonts w:cs="Times New Roman"/>
          <w:color w:val="000000" w:themeColor="text1"/>
          <w:lang w:val="pt-BR"/>
        </w:rPr>
        <w:t xml:space="preserve">, dependendo da taxa de juros aplicada. Se comparado ao valor da Tarifa Elétrica praticado no local, o payback do investimento em geração de eletricidade ocorrerá entre o </w:t>
      </w:r>
      <w:r w:rsidR="00B97AC9">
        <w:rPr>
          <w:rFonts w:cs="Times New Roman"/>
          <w:color w:val="000000" w:themeColor="text1"/>
          <w:lang w:val="pt-BR"/>
        </w:rPr>
        <w:t>4</w:t>
      </w:r>
      <w:r w:rsidRPr="0029245C">
        <w:rPr>
          <w:rFonts w:cs="Times New Roman"/>
          <w:color w:val="000000" w:themeColor="text1"/>
          <w:lang w:val="pt-BR"/>
        </w:rPr>
        <w:t xml:space="preserve">º e o </w:t>
      </w:r>
      <w:r w:rsidR="00B97AC9">
        <w:rPr>
          <w:rFonts w:cs="Times New Roman"/>
          <w:color w:val="000000" w:themeColor="text1"/>
          <w:lang w:val="pt-BR"/>
        </w:rPr>
        <w:t>5</w:t>
      </w:r>
      <w:r w:rsidRPr="0029245C">
        <w:rPr>
          <w:rFonts w:cs="Times New Roman"/>
          <w:color w:val="000000" w:themeColor="text1"/>
          <w:lang w:val="pt-BR"/>
        </w:rPr>
        <w:t>º ano.</w:t>
      </w:r>
    </w:p>
    <w:p w14:paraId="4BFDC3BB" w14:textId="77777777" w:rsidR="0029245C" w:rsidRDefault="0029245C" w:rsidP="0029245C">
      <w:pPr>
        <w:rPr>
          <w:rFonts w:cs="Times New Roman"/>
          <w:color w:val="000000" w:themeColor="text1"/>
          <w:lang w:val="pt-BR"/>
        </w:rPr>
      </w:pPr>
    </w:p>
    <w:p w14:paraId="34E093E5" w14:textId="6A8595E6" w:rsidR="00845BFA" w:rsidRDefault="00845BFA" w:rsidP="0029245C">
      <w:pPr>
        <w:rPr>
          <w:rFonts w:cs="Times New Roman"/>
          <w:color w:val="000000" w:themeColor="text1"/>
          <w:lang w:val="pt-BR"/>
        </w:rPr>
      </w:pPr>
      <w:r>
        <w:rPr>
          <w:rFonts w:cs="Times New Roman"/>
          <w:color w:val="000000" w:themeColor="text1"/>
          <w:lang w:val="pt-BR"/>
        </w:rPr>
        <w:t>Trata-se, portanto, de um caso onde a questão dos RSU pode ser abordada não apenas como um problema de saneamento ou de saúde pública mas, por outro lado, como uma oportunidade rentável de geração de energia elétrica renovável, bem como a possibilidade de se viabilizar a produção de um vetor energético emergente e com aplicações abrangentes, como é o hidrogênio.</w:t>
      </w:r>
    </w:p>
    <w:p w14:paraId="26968658" w14:textId="77777777" w:rsidR="00845BFA" w:rsidRPr="0029245C" w:rsidRDefault="00845BFA" w:rsidP="0029245C">
      <w:pPr>
        <w:rPr>
          <w:rFonts w:cs="Times New Roman"/>
          <w:color w:val="000000" w:themeColor="text1"/>
          <w:lang w:val="pt-BR"/>
        </w:rPr>
      </w:pPr>
    </w:p>
    <w:p w14:paraId="3031F1D5" w14:textId="0D7EA098" w:rsidR="0029245C" w:rsidRPr="0029245C" w:rsidRDefault="0029245C" w:rsidP="0029245C">
      <w:pPr>
        <w:rPr>
          <w:rFonts w:cs="Times New Roman"/>
          <w:color w:val="000000" w:themeColor="text1"/>
          <w:lang w:val="pt-BR"/>
        </w:rPr>
      </w:pPr>
      <w:r w:rsidRPr="0029245C">
        <w:rPr>
          <w:rFonts w:cs="Times New Roman"/>
          <w:color w:val="000000" w:themeColor="text1"/>
          <w:lang w:val="pt-BR"/>
        </w:rPr>
        <w:t xml:space="preserve">Estudos futuros poderão complementar este trabalho, por meio da análise econômica da produção do </w:t>
      </w:r>
      <w:proofErr w:type="spellStart"/>
      <w:r w:rsidRPr="0029245C">
        <w:rPr>
          <w:rFonts w:cs="Times New Roman"/>
          <w:color w:val="000000" w:themeColor="text1"/>
          <w:lang w:val="pt-BR"/>
        </w:rPr>
        <w:t>biohidrogênio</w:t>
      </w:r>
      <w:proofErr w:type="spellEnd"/>
      <w:r w:rsidRPr="0029245C">
        <w:rPr>
          <w:rFonts w:cs="Times New Roman"/>
          <w:color w:val="000000" w:themeColor="text1"/>
          <w:lang w:val="pt-BR"/>
        </w:rPr>
        <w:t xml:space="preserve"> eletrolítico, </w:t>
      </w:r>
      <w:r w:rsidR="0030265D">
        <w:rPr>
          <w:rFonts w:cs="Times New Roman"/>
          <w:color w:val="000000" w:themeColor="text1"/>
          <w:lang w:val="pt-BR"/>
        </w:rPr>
        <w:t xml:space="preserve">com o cálculo de seus custos de produção </w:t>
      </w:r>
      <w:r w:rsidRPr="0029245C">
        <w:rPr>
          <w:rFonts w:cs="Times New Roman"/>
          <w:color w:val="000000" w:themeColor="text1"/>
          <w:lang w:val="pt-BR"/>
        </w:rPr>
        <w:t xml:space="preserve">bem como explorar mais detalhadamente o processo de produção do biogás e seu aproveitamento térmico. Nesse sentido tem se </w:t>
      </w:r>
      <w:r w:rsidR="0030265D">
        <w:rPr>
          <w:rFonts w:cs="Times New Roman"/>
          <w:color w:val="000000" w:themeColor="text1"/>
          <w:lang w:val="pt-BR"/>
        </w:rPr>
        <w:t>em elaboração</w:t>
      </w:r>
      <w:r w:rsidRPr="0029245C">
        <w:rPr>
          <w:rFonts w:cs="Times New Roman"/>
          <w:color w:val="000000" w:themeColor="text1"/>
          <w:lang w:val="pt-BR"/>
        </w:rPr>
        <w:t xml:space="preserve"> um estudo mais completo sobre o assunto </w:t>
      </w:r>
      <w:proofErr w:type="spellStart"/>
      <w:r w:rsidRPr="0029245C">
        <w:rPr>
          <w:rFonts w:cs="Times New Roman"/>
          <w:color w:val="000000" w:themeColor="text1"/>
          <w:lang w:val="pt-BR"/>
        </w:rPr>
        <w:t>biohidrogênio</w:t>
      </w:r>
      <w:proofErr w:type="spellEnd"/>
      <w:r w:rsidRPr="0029245C">
        <w:rPr>
          <w:rFonts w:cs="Times New Roman"/>
          <w:color w:val="000000" w:themeColor="text1"/>
          <w:lang w:val="pt-BR"/>
        </w:rPr>
        <w:t xml:space="preserve"> e </w:t>
      </w:r>
      <w:r w:rsidR="00F546DD">
        <w:rPr>
          <w:rFonts w:cs="Times New Roman"/>
          <w:color w:val="000000" w:themeColor="text1"/>
          <w:lang w:val="pt-BR"/>
        </w:rPr>
        <w:t xml:space="preserve">respectivos </w:t>
      </w:r>
      <w:r w:rsidR="0030265D">
        <w:rPr>
          <w:rFonts w:cs="Times New Roman"/>
          <w:color w:val="000000" w:themeColor="text1"/>
          <w:lang w:val="pt-BR"/>
        </w:rPr>
        <w:t xml:space="preserve">aspectos econômicos, considerando não apenas o processo eletrolítico, como também a reforma a vapor do biogás. </w:t>
      </w:r>
    </w:p>
    <w:p w14:paraId="071743FC" w14:textId="77777777" w:rsidR="0029245C" w:rsidRPr="0029245C" w:rsidRDefault="0029245C" w:rsidP="0029245C">
      <w:pPr>
        <w:rPr>
          <w:rFonts w:cs="Times New Roman"/>
          <w:color w:val="000000" w:themeColor="text1"/>
          <w:lang w:val="pt-BR"/>
        </w:rPr>
      </w:pPr>
    </w:p>
    <w:p w14:paraId="2297D897" w14:textId="77777777" w:rsidR="0029245C" w:rsidRDefault="0029245C" w:rsidP="0029245C">
      <w:pPr>
        <w:pStyle w:val="Ttulo1"/>
        <w:keepNext/>
        <w:keepLines/>
        <w:numPr>
          <w:ilvl w:val="0"/>
          <w:numId w:val="26"/>
        </w:numPr>
        <w:spacing w:line="259" w:lineRule="auto"/>
        <w:contextualSpacing w:val="0"/>
        <w:jc w:val="left"/>
        <w:rPr>
          <w:color w:val="000000" w:themeColor="text1"/>
        </w:rPr>
      </w:pPr>
      <w:proofErr w:type="spellStart"/>
      <w:r>
        <w:rPr>
          <w:color w:val="000000" w:themeColor="text1"/>
        </w:rPr>
        <w:t>Agradecimentos</w:t>
      </w:r>
      <w:proofErr w:type="spellEnd"/>
    </w:p>
    <w:p w14:paraId="365CDB9E" w14:textId="77777777" w:rsidR="0029245C" w:rsidRDefault="0029245C" w:rsidP="0029245C">
      <w:pPr>
        <w:rPr>
          <w:rFonts w:cs="Times New Roman"/>
          <w:color w:val="000000" w:themeColor="text1"/>
        </w:rPr>
      </w:pPr>
    </w:p>
    <w:p w14:paraId="134CFF5B" w14:textId="33FAC9F3" w:rsidR="0029245C" w:rsidRDefault="006A72CF" w:rsidP="0029245C">
      <w:pPr>
        <w:rPr>
          <w:rFonts w:cs="Times New Roman"/>
          <w:color w:val="000000" w:themeColor="text1"/>
          <w:lang w:val="pt-BR"/>
        </w:rPr>
      </w:pPr>
      <w:r w:rsidRPr="006A72CF">
        <w:rPr>
          <w:rFonts w:cs="Times New Roman"/>
          <w:color w:val="000000" w:themeColor="text1"/>
          <w:lang w:val="pt-BR"/>
        </w:rPr>
        <w:t>O presente trabalho foi realizado com apoio da Coordenação de Aperfeiçoamento de Pessoal de Nível Superior – Brasil (CAPES) – Código de Financiamento 001</w:t>
      </w:r>
      <w:r w:rsidR="0029245C" w:rsidRPr="0029245C">
        <w:rPr>
          <w:rFonts w:cs="Times New Roman"/>
          <w:color w:val="000000" w:themeColor="text1"/>
          <w:lang w:val="pt-BR"/>
        </w:rPr>
        <w:t>.</w:t>
      </w:r>
    </w:p>
    <w:p w14:paraId="04131E50" w14:textId="64F0ED38" w:rsidR="0029245C" w:rsidRDefault="00F9169B" w:rsidP="0029245C">
      <w:pPr>
        <w:rPr>
          <w:rFonts w:cs="Times New Roman"/>
          <w:color w:val="000000" w:themeColor="text1"/>
          <w:lang w:val="pt-BR"/>
        </w:rPr>
      </w:pPr>
      <w:r w:rsidRPr="00F9169B">
        <w:rPr>
          <w:rFonts w:cs="Times New Roman"/>
          <w:color w:val="000000" w:themeColor="text1"/>
          <w:lang w:val="pt-BR"/>
        </w:rPr>
        <w:t>Este trabalho é financiado por fundos</w:t>
      </w:r>
      <w:bookmarkStart w:id="0" w:name="_GoBack"/>
      <w:bookmarkEnd w:id="0"/>
      <w:r w:rsidRPr="00F9169B">
        <w:rPr>
          <w:rFonts w:cs="Times New Roman"/>
          <w:color w:val="000000" w:themeColor="text1"/>
          <w:lang w:val="pt-BR"/>
        </w:rPr>
        <w:t xml:space="preserve"> nacionais através da FCT - Fundação para a Ciência e a Tecnologia, I.P., no âmbito do projeto UIDB/050</w:t>
      </w:r>
      <w:r w:rsidR="004376E2">
        <w:rPr>
          <w:rFonts w:cs="Times New Roman"/>
          <w:color w:val="000000" w:themeColor="text1"/>
          <w:lang w:val="pt-BR"/>
        </w:rPr>
        <w:t>64/2020 do</w:t>
      </w:r>
      <w:r w:rsidRPr="00F9169B">
        <w:rPr>
          <w:rFonts w:cs="Times New Roman"/>
          <w:color w:val="000000" w:themeColor="text1"/>
          <w:lang w:val="pt-BR"/>
        </w:rPr>
        <w:t xml:space="preserve"> VALORIZA (Centro de Investigação para a Valorização de Recursos Endógenos).</w:t>
      </w:r>
    </w:p>
    <w:p w14:paraId="25EA1176" w14:textId="77777777" w:rsidR="00F9169B" w:rsidRPr="00F9169B" w:rsidRDefault="00F9169B" w:rsidP="0029245C">
      <w:pPr>
        <w:rPr>
          <w:rFonts w:cs="Times New Roman"/>
          <w:color w:val="000000" w:themeColor="text1"/>
          <w:lang w:val="pt-BR"/>
        </w:rPr>
      </w:pPr>
    </w:p>
    <w:p w14:paraId="6C7E8A9F" w14:textId="77777777" w:rsidR="0029245C" w:rsidRPr="0029245C" w:rsidRDefault="0029245C" w:rsidP="0029245C">
      <w:pPr>
        <w:pStyle w:val="Ttulo1"/>
        <w:keepNext/>
        <w:keepLines/>
        <w:numPr>
          <w:ilvl w:val="0"/>
          <w:numId w:val="26"/>
        </w:numPr>
        <w:spacing w:after="240" w:line="259" w:lineRule="auto"/>
        <w:contextualSpacing w:val="0"/>
        <w:jc w:val="left"/>
        <w:rPr>
          <w:color w:val="000000" w:themeColor="text1"/>
          <w:lang w:val="pt-BR"/>
        </w:rPr>
      </w:pPr>
      <w:r w:rsidRPr="0029245C">
        <w:rPr>
          <w:color w:val="000000" w:themeColor="text1"/>
          <w:lang w:val="pt-BR"/>
        </w:rPr>
        <w:t xml:space="preserve">Referências bibliográficas </w:t>
      </w:r>
    </w:p>
    <w:p w14:paraId="7F96DCAE" w14:textId="77777777" w:rsidR="0029245C" w:rsidRPr="00E63A98" w:rsidRDefault="0029245C" w:rsidP="0030265D">
      <w:pPr>
        <w:widowControl w:val="0"/>
        <w:autoSpaceDE w:val="0"/>
        <w:autoSpaceDN w:val="0"/>
        <w:adjustRightInd w:val="0"/>
        <w:spacing w:before="240" w:after="240"/>
        <w:ind w:left="640" w:hanging="640"/>
        <w:rPr>
          <w:rFonts w:cs="Times New Roman"/>
          <w:noProof/>
        </w:rPr>
      </w:pPr>
      <w:r w:rsidRPr="00E63A98">
        <w:rPr>
          <w:rFonts w:cs="Times New Roman"/>
          <w:color w:val="000000" w:themeColor="text1"/>
        </w:rPr>
        <w:fldChar w:fldCharType="begin" w:fldLock="1"/>
      </w:r>
      <w:r w:rsidRPr="0029245C">
        <w:rPr>
          <w:rFonts w:cs="Times New Roman"/>
          <w:color w:val="000000" w:themeColor="text1"/>
          <w:lang w:val="pt-BR"/>
        </w:rPr>
        <w:instrText xml:space="preserve">ADDIN Mendeley Bibliography CSL_BIBLIOGRAPHY </w:instrText>
      </w:r>
      <w:r w:rsidRPr="00E63A98">
        <w:rPr>
          <w:rFonts w:cs="Times New Roman"/>
          <w:color w:val="000000" w:themeColor="text1"/>
        </w:rPr>
        <w:fldChar w:fldCharType="separate"/>
      </w:r>
      <w:r w:rsidRPr="0029245C">
        <w:rPr>
          <w:rFonts w:cs="Times New Roman"/>
          <w:noProof/>
          <w:lang w:val="pt-BR"/>
        </w:rPr>
        <w:t>[1]</w:t>
      </w:r>
      <w:r w:rsidRPr="0029245C">
        <w:rPr>
          <w:rFonts w:cs="Times New Roman"/>
          <w:noProof/>
          <w:lang w:val="pt-BR"/>
        </w:rPr>
        <w:tab/>
        <w:t>ABRELPE, “PANORAMA DOS RESIDUOS SÓLIDOS NO BRA</w:t>
      </w:r>
      <w:r w:rsidRPr="00E63A98">
        <w:rPr>
          <w:rFonts w:cs="Times New Roman"/>
          <w:noProof/>
        </w:rPr>
        <w:t>SIL 2020,” 2020.</w:t>
      </w:r>
    </w:p>
    <w:p w14:paraId="599D0BED" w14:textId="77777777" w:rsidR="0029245C" w:rsidRPr="0029245C" w:rsidRDefault="0029245C" w:rsidP="0029245C">
      <w:pPr>
        <w:widowControl w:val="0"/>
        <w:autoSpaceDE w:val="0"/>
        <w:autoSpaceDN w:val="0"/>
        <w:adjustRightInd w:val="0"/>
        <w:spacing w:after="240"/>
        <w:ind w:left="640" w:hanging="640"/>
        <w:rPr>
          <w:rFonts w:cs="Times New Roman"/>
          <w:noProof/>
          <w:lang w:val="pt-BR"/>
        </w:rPr>
      </w:pPr>
      <w:r w:rsidRPr="0029245C">
        <w:rPr>
          <w:rFonts w:cs="Times New Roman"/>
          <w:noProof/>
          <w:lang w:val="pt-BR"/>
        </w:rPr>
        <w:t>[2]</w:t>
      </w:r>
      <w:r w:rsidRPr="0029245C">
        <w:rPr>
          <w:rFonts w:cs="Times New Roman"/>
          <w:noProof/>
          <w:lang w:val="pt-BR"/>
        </w:rPr>
        <w:tab/>
        <w:t>Ministério do Meio Ambiente, “PLANO NACIONALDE RESÍDUOS SÓLIDOS,” 2022.</w:t>
      </w:r>
    </w:p>
    <w:p w14:paraId="78DF6194"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lastRenderedPageBreak/>
        <w:t>[3]</w:t>
      </w:r>
      <w:r w:rsidRPr="0029245C">
        <w:rPr>
          <w:rFonts w:cs="Times New Roman"/>
          <w:noProof/>
          <w:lang w:val="en-US"/>
        </w:rPr>
        <w:tab/>
        <w:t xml:space="preserve">V. A. Ferraz de Campos, V. B. Silva, J. S. Cardoso, P. S. Brito, C. E. Tuna, and J. L. Silveira, “A review of waste management in Brazil and Portugal: Waste-to-energy as pathway for sustainable development,” </w:t>
      </w:r>
      <w:r w:rsidRPr="0029245C">
        <w:rPr>
          <w:rFonts w:cs="Times New Roman"/>
          <w:i/>
          <w:iCs/>
          <w:noProof/>
          <w:lang w:val="en-US"/>
        </w:rPr>
        <w:t>Renew. Energy</w:t>
      </w:r>
      <w:r w:rsidRPr="0029245C">
        <w:rPr>
          <w:rFonts w:cs="Times New Roman"/>
          <w:noProof/>
          <w:lang w:val="en-US"/>
        </w:rPr>
        <w:t>, vol. 178, pp. 802–820, Nov. 2021.</w:t>
      </w:r>
    </w:p>
    <w:p w14:paraId="2CAF6CD8"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[4]</w:t>
      </w:r>
      <w:r w:rsidRPr="0029245C">
        <w:rPr>
          <w:rFonts w:cs="Times New Roman"/>
          <w:noProof/>
          <w:lang w:val="en-US"/>
        </w:rPr>
        <w:tab/>
        <w:t xml:space="preserve">C. Yaman, I. Anil, and O. Alagha, “Potential for greenhouse gas reduction and energy recovery from MSW through different waste management technologies,” </w:t>
      </w:r>
      <w:r w:rsidRPr="0029245C">
        <w:rPr>
          <w:rFonts w:cs="Times New Roman"/>
          <w:i/>
          <w:iCs/>
          <w:noProof/>
          <w:lang w:val="en-US"/>
        </w:rPr>
        <w:t>J. Clean. Prod.</w:t>
      </w:r>
      <w:r w:rsidRPr="0029245C">
        <w:rPr>
          <w:rFonts w:cs="Times New Roman"/>
          <w:noProof/>
          <w:lang w:val="en-US"/>
        </w:rPr>
        <w:t>, vol. 264, p. 121432, Aug. 2020.</w:t>
      </w:r>
    </w:p>
    <w:p w14:paraId="60EF5A88"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[5]</w:t>
      </w:r>
      <w:r w:rsidRPr="0029245C">
        <w:rPr>
          <w:rFonts w:cs="Times New Roman"/>
          <w:noProof/>
          <w:lang w:val="en-US"/>
        </w:rPr>
        <w:tab/>
        <w:t xml:space="preserve">Z. Rouhollahi, M. Ebrahimi-Nik, S. H. Ebrahimi, M. H. Abbaspour-Fard, R. Zeynali, and M. R. Bayati, “Farm biogas plants, a sustainable waste to energy and bio-fertilizer opportunity for Iran,” </w:t>
      </w:r>
      <w:r w:rsidRPr="0029245C">
        <w:rPr>
          <w:rFonts w:cs="Times New Roman"/>
          <w:i/>
          <w:iCs/>
          <w:noProof/>
          <w:lang w:val="en-US"/>
        </w:rPr>
        <w:t>J. Clean. Prod.</w:t>
      </w:r>
      <w:r w:rsidRPr="0029245C">
        <w:rPr>
          <w:rFonts w:cs="Times New Roman"/>
          <w:noProof/>
          <w:lang w:val="en-US"/>
        </w:rPr>
        <w:t>, vol. 253, p. 119876, Apr. 2020.</w:t>
      </w:r>
    </w:p>
    <w:p w14:paraId="5970F8DC"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[6]</w:t>
      </w:r>
      <w:r w:rsidRPr="0029245C">
        <w:rPr>
          <w:rFonts w:cs="Times New Roman"/>
          <w:noProof/>
          <w:lang w:val="en-US"/>
        </w:rPr>
        <w:tab/>
        <w:t xml:space="preserve">H. Dhar, S. Kumar, and R. Kumar, “A review on organic waste to energy systems in India,” </w:t>
      </w:r>
      <w:r w:rsidRPr="0029245C">
        <w:rPr>
          <w:rFonts w:cs="Times New Roman"/>
          <w:i/>
          <w:iCs/>
          <w:noProof/>
          <w:lang w:val="en-US"/>
        </w:rPr>
        <w:t>Bioresource Technology</w:t>
      </w:r>
      <w:r w:rsidRPr="0029245C">
        <w:rPr>
          <w:rFonts w:cs="Times New Roman"/>
          <w:noProof/>
          <w:lang w:val="en-US"/>
        </w:rPr>
        <w:t>, vol. 245. Elsevier Ltd, pp. 1229–1237, 2017.</w:t>
      </w:r>
    </w:p>
    <w:p w14:paraId="5E07E783" w14:textId="77777777" w:rsidR="0029245C" w:rsidRPr="0029245C" w:rsidRDefault="0029245C" w:rsidP="0029245C">
      <w:pPr>
        <w:widowControl w:val="0"/>
        <w:autoSpaceDE w:val="0"/>
        <w:autoSpaceDN w:val="0"/>
        <w:adjustRightInd w:val="0"/>
        <w:spacing w:after="240"/>
        <w:ind w:left="640" w:hanging="640"/>
        <w:rPr>
          <w:rFonts w:cs="Times New Roman"/>
          <w:noProof/>
          <w:lang w:val="pt-BR"/>
        </w:rPr>
      </w:pPr>
      <w:r w:rsidRPr="0029245C">
        <w:rPr>
          <w:rFonts w:cs="Times New Roman"/>
          <w:noProof/>
          <w:lang w:val="en-US"/>
        </w:rPr>
        <w:t>[7]</w:t>
      </w:r>
      <w:r w:rsidRPr="0029245C">
        <w:rPr>
          <w:rFonts w:cs="Times New Roman"/>
          <w:noProof/>
          <w:lang w:val="en-US"/>
        </w:rPr>
        <w:tab/>
        <w:t xml:space="preserve">M. Peces, S. Astals, and J. Mata-Alvarez, “Assessing total and volatile solids in municipal solid waste samples,” </w:t>
      </w:r>
      <w:r w:rsidRPr="0029245C">
        <w:rPr>
          <w:rFonts w:cs="Times New Roman"/>
          <w:i/>
          <w:iCs/>
          <w:noProof/>
          <w:lang w:val="en-US"/>
        </w:rPr>
        <w:t xml:space="preserve">Environ. </w:t>
      </w:r>
      <w:r w:rsidRPr="0029245C">
        <w:rPr>
          <w:rFonts w:cs="Times New Roman"/>
          <w:i/>
          <w:iCs/>
          <w:noProof/>
          <w:lang w:val="pt-BR"/>
        </w:rPr>
        <w:t>Technol.</w:t>
      </w:r>
      <w:r w:rsidRPr="0029245C">
        <w:rPr>
          <w:rFonts w:cs="Times New Roman"/>
          <w:noProof/>
          <w:lang w:val="pt-BR"/>
        </w:rPr>
        <w:t>, vol. 35, no. 21–24, pp. 3041–3046, Dec. 2014.</w:t>
      </w:r>
    </w:p>
    <w:p w14:paraId="70497364" w14:textId="77777777" w:rsidR="0029245C" w:rsidRPr="0029245C" w:rsidRDefault="0029245C" w:rsidP="0029245C">
      <w:pPr>
        <w:widowControl w:val="0"/>
        <w:autoSpaceDE w:val="0"/>
        <w:autoSpaceDN w:val="0"/>
        <w:adjustRightInd w:val="0"/>
        <w:spacing w:after="240"/>
        <w:ind w:left="640" w:hanging="640"/>
        <w:rPr>
          <w:rFonts w:cs="Times New Roman"/>
          <w:noProof/>
          <w:lang w:val="pt-BR"/>
        </w:rPr>
      </w:pPr>
      <w:r w:rsidRPr="0029245C">
        <w:rPr>
          <w:rFonts w:cs="Times New Roman"/>
          <w:noProof/>
          <w:lang w:val="pt-BR"/>
        </w:rPr>
        <w:t>[8]</w:t>
      </w:r>
      <w:r w:rsidRPr="0029245C">
        <w:rPr>
          <w:rFonts w:cs="Times New Roman"/>
          <w:noProof/>
          <w:lang w:val="pt-BR"/>
        </w:rPr>
        <w:tab/>
        <w:t>M. A. Valente Santos, “Avaliação do potencial de produção de Biohidrogénio na ETVO da Valorsul,” Universidade Nova de Lisboa, Lisboa, 2020.</w:t>
      </w:r>
    </w:p>
    <w:p w14:paraId="4CDCA542" w14:textId="77777777" w:rsidR="0029245C" w:rsidRPr="0029245C" w:rsidRDefault="0029245C" w:rsidP="0029245C">
      <w:pPr>
        <w:widowControl w:val="0"/>
        <w:autoSpaceDE w:val="0"/>
        <w:autoSpaceDN w:val="0"/>
        <w:adjustRightInd w:val="0"/>
        <w:spacing w:after="240"/>
        <w:ind w:left="640" w:hanging="640"/>
        <w:rPr>
          <w:rFonts w:cs="Times New Roman"/>
          <w:noProof/>
          <w:lang w:val="pt-BR"/>
        </w:rPr>
      </w:pPr>
      <w:r w:rsidRPr="0029245C">
        <w:rPr>
          <w:rFonts w:cs="Times New Roman"/>
          <w:noProof/>
          <w:lang w:val="pt-BR"/>
        </w:rPr>
        <w:t>[9]</w:t>
      </w:r>
      <w:r w:rsidRPr="0029245C">
        <w:rPr>
          <w:rFonts w:cs="Times New Roman"/>
          <w:noProof/>
          <w:lang w:val="pt-BR"/>
        </w:rPr>
        <w:tab/>
        <w:t>B. H. Xavier, “Aspectos termodinâmicos, ecológicos e econômicos de sistemas de cogeração com motores de combustão interna operando com gás natural, biogás e gás de síntese,” Guaratinguetá, 2016.</w:t>
      </w:r>
    </w:p>
    <w:p w14:paraId="47BCBE67"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[10]</w:t>
      </w:r>
      <w:r w:rsidRPr="0029245C">
        <w:rPr>
          <w:rFonts w:cs="Times New Roman"/>
          <w:noProof/>
          <w:lang w:val="en-US"/>
        </w:rPr>
        <w:tab/>
        <w:t xml:space="preserve">R. F. S. Paulino, A. M. Essiptchouk, L. P. C. Costa, and J. L. Silveira, “Thermodynamic analysis of biomedical waste plasma gasification,” </w:t>
      </w:r>
      <w:r w:rsidRPr="0029245C">
        <w:rPr>
          <w:rFonts w:cs="Times New Roman"/>
          <w:i/>
          <w:iCs/>
          <w:noProof/>
          <w:lang w:val="en-US"/>
        </w:rPr>
        <w:t>Energy</w:t>
      </w:r>
      <w:r w:rsidRPr="0029245C">
        <w:rPr>
          <w:rFonts w:cs="Times New Roman"/>
          <w:noProof/>
          <w:lang w:val="en-US"/>
        </w:rPr>
        <w:t>, vol. 244, p. 122600, Apr. 2022.</w:t>
      </w:r>
    </w:p>
    <w:p w14:paraId="2EE13EB3"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[11]</w:t>
      </w:r>
      <w:r w:rsidRPr="0029245C">
        <w:rPr>
          <w:rFonts w:cs="Times New Roman"/>
          <w:noProof/>
          <w:lang w:val="en-US"/>
        </w:rPr>
        <w:tab/>
        <w:t xml:space="preserve">M. Hosseini, I. Dincer, and M. A. Rosen, “Hybrid solar-fuel cell combined heat and power systems for residential applications: Energy and exergy analyses,” </w:t>
      </w:r>
      <w:r w:rsidRPr="0029245C">
        <w:rPr>
          <w:rFonts w:cs="Times New Roman"/>
          <w:i/>
          <w:iCs/>
          <w:noProof/>
          <w:lang w:val="en-US"/>
        </w:rPr>
        <w:t>J. Power Sources</w:t>
      </w:r>
      <w:r w:rsidRPr="0029245C">
        <w:rPr>
          <w:rFonts w:cs="Times New Roman"/>
          <w:noProof/>
          <w:lang w:val="en-US"/>
        </w:rPr>
        <w:t>, vol. 221, pp. 372–380, 2013.</w:t>
      </w:r>
    </w:p>
    <w:p w14:paraId="122F253C"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[12]</w:t>
      </w:r>
      <w:r w:rsidRPr="0029245C">
        <w:rPr>
          <w:rFonts w:cs="Times New Roman"/>
          <w:noProof/>
          <w:lang w:val="en-US"/>
        </w:rPr>
        <w:tab/>
        <w:t>J. L. Silveira, C. E. Tuna, and W. De Queiroz Lamas, “The need of subsidy for the implementation of photovoltaic solar energy as supporting of decentralized electrical power generation in Brazil,” 2013.</w:t>
      </w:r>
    </w:p>
    <w:p w14:paraId="35B417DC"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lastRenderedPageBreak/>
        <w:t>[13]</w:t>
      </w:r>
      <w:r w:rsidRPr="0029245C">
        <w:rPr>
          <w:rFonts w:cs="Times New Roman"/>
          <w:noProof/>
          <w:lang w:val="en-US"/>
        </w:rPr>
        <w:tab/>
        <w:t>“Taxa Selic.” [Online]. Available: https://www.bcb.gov.br/controleinflacao/taxaselic. [Accessed: 20-Jul-2022].</w:t>
      </w:r>
    </w:p>
    <w:p w14:paraId="59041B14"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[14]</w:t>
      </w:r>
      <w:r w:rsidRPr="0029245C">
        <w:rPr>
          <w:rFonts w:cs="Times New Roman"/>
          <w:noProof/>
          <w:lang w:val="en-US"/>
        </w:rPr>
        <w:tab/>
        <w:t xml:space="preserve">Y. Aparecida </w:t>
      </w:r>
      <w:r w:rsidRPr="0029245C">
        <w:rPr>
          <w:rFonts w:cs="Times New Roman"/>
          <w:i/>
          <w:iCs/>
          <w:noProof/>
          <w:lang w:val="en-US"/>
        </w:rPr>
        <w:t>et al.</w:t>
      </w:r>
      <w:r w:rsidRPr="0029245C">
        <w:rPr>
          <w:rFonts w:cs="Times New Roman"/>
          <w:noProof/>
          <w:lang w:val="en-US"/>
        </w:rPr>
        <w:t>, “Performance Study of a Microturbine System for Cogeneration Application Using Biogas from Manipueira Gas Enthalpy at T 2 (kJ/kg) h 6 Enthalpy of saturated steam at the heat recovery outlet temperature (kJ/kg) h 7 Enthalpy of saturated liquid at 90°C (kJ/kg) h 8 Compressor inlet temperature (°C).”</w:t>
      </w:r>
    </w:p>
    <w:p w14:paraId="0D8FA509"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[15]</w:t>
      </w:r>
      <w:r w:rsidRPr="0029245C">
        <w:rPr>
          <w:rFonts w:cs="Times New Roman"/>
          <w:noProof/>
          <w:lang w:val="en-US"/>
        </w:rPr>
        <w:tab/>
        <w:t xml:space="preserve">R. P. Micena, O. R. Llerena-Pizarro, T. M. de Souza, and J. L. Silveira, “Solar-powered Hydrogen Refueling Stations: A techno-economic analysis,” </w:t>
      </w:r>
      <w:r w:rsidRPr="0029245C">
        <w:rPr>
          <w:rFonts w:cs="Times New Roman"/>
          <w:i/>
          <w:iCs/>
          <w:noProof/>
          <w:lang w:val="en-US"/>
        </w:rPr>
        <w:t>Int. J. Hydrogen Energy</w:t>
      </w:r>
      <w:r w:rsidRPr="0029245C">
        <w:rPr>
          <w:rFonts w:cs="Times New Roman"/>
          <w:noProof/>
          <w:lang w:val="en-US"/>
        </w:rPr>
        <w:t>, 2019.</w:t>
      </w:r>
    </w:p>
    <w:p w14:paraId="5ABB0AC8" w14:textId="77777777" w:rsidR="0029245C" w:rsidRP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pt-BR"/>
        </w:rPr>
        <w:t>[16]</w:t>
      </w:r>
      <w:r w:rsidRPr="0029245C">
        <w:rPr>
          <w:rFonts w:cs="Times New Roman"/>
          <w:noProof/>
          <w:lang w:val="pt-BR"/>
        </w:rPr>
        <w:tab/>
        <w:t xml:space="preserve">“Tarifas - clientes atendidos em Baixa Tensão (Grupo B).” </w:t>
      </w:r>
      <w:r w:rsidRPr="0029245C">
        <w:rPr>
          <w:rFonts w:cs="Times New Roman"/>
          <w:noProof/>
          <w:lang w:val="en-US"/>
        </w:rPr>
        <w:t>[Online]. Available: https://www.edp.com.br/distribuicao-sp/saiba-mais/informativos/tabela-de-fornecimento-baixa-tensao. [Accessed: 22-Jul-2022].</w:t>
      </w:r>
    </w:p>
    <w:p w14:paraId="5499838E" w14:textId="77777777" w:rsidR="0029245C" w:rsidRDefault="0029245C" w:rsidP="0029245C">
      <w:pPr>
        <w:widowControl w:val="0"/>
        <w:autoSpaceDE w:val="0"/>
        <w:autoSpaceDN w:val="0"/>
        <w:adjustRightInd w:val="0"/>
        <w:spacing w:after="240"/>
        <w:ind w:left="640" w:hanging="640"/>
        <w:rPr>
          <w:rFonts w:cs="Times New Roman"/>
          <w:noProof/>
          <w:lang w:val="en-US"/>
        </w:rPr>
      </w:pPr>
      <w:r w:rsidRPr="0029245C">
        <w:rPr>
          <w:rFonts w:cs="Times New Roman"/>
          <w:noProof/>
          <w:lang w:val="en-US"/>
        </w:rPr>
        <w:t>[17]</w:t>
      </w:r>
      <w:r w:rsidRPr="0029245C">
        <w:rPr>
          <w:rFonts w:cs="Times New Roman"/>
          <w:noProof/>
          <w:lang w:val="en-US"/>
        </w:rPr>
        <w:tab/>
        <w:t>“Inflação | IBGE.” [Online]. Available: https://www.ibge.gov.br/explica/inflacao.php. [Accessed: 22-Jul-2022].</w:t>
      </w:r>
    </w:p>
    <w:p w14:paraId="680A208B" w14:textId="77777777" w:rsidR="00AD7832" w:rsidRDefault="00AD7832" w:rsidP="0029245C">
      <w:pPr>
        <w:widowControl w:val="0"/>
        <w:autoSpaceDE w:val="0"/>
        <w:autoSpaceDN w:val="0"/>
        <w:adjustRightInd w:val="0"/>
        <w:spacing w:after="240"/>
        <w:ind w:left="640" w:hanging="640"/>
        <w:rPr>
          <w:rFonts w:cs="Times New Roman"/>
          <w:noProof/>
          <w:lang w:val="en-US"/>
        </w:rPr>
      </w:pPr>
    </w:p>
    <w:p w14:paraId="4AE06E8B" w14:textId="512F9B74" w:rsidR="00845BFA" w:rsidRPr="00845BFA" w:rsidRDefault="00576008" w:rsidP="00845BFA">
      <w:pPr>
        <w:pStyle w:val="Ttulo1"/>
        <w:keepNext/>
        <w:keepLines/>
        <w:numPr>
          <w:ilvl w:val="0"/>
          <w:numId w:val="26"/>
        </w:numPr>
        <w:spacing w:after="240" w:line="259" w:lineRule="auto"/>
        <w:contextualSpacing w:val="0"/>
        <w:jc w:val="left"/>
        <w:rPr>
          <w:color w:val="000000" w:themeColor="text1"/>
        </w:rPr>
      </w:pPr>
      <w:r w:rsidRPr="00845BFA">
        <w:rPr>
          <w:color w:val="000000" w:themeColor="text1"/>
        </w:rPr>
        <w:t xml:space="preserve">Nomenclatura </w:t>
      </w:r>
      <w:r w:rsidR="00845BFA">
        <w:rPr>
          <w:noProof/>
          <w:lang w:val="en-US"/>
        </w:rPr>
        <w:fldChar w:fldCharType="begin"/>
      </w:r>
      <w:r w:rsidR="00845BFA" w:rsidRPr="00845BFA">
        <w:rPr>
          <w:noProof/>
          <w:lang w:val="en-US"/>
        </w:rPr>
        <w:instrText xml:space="preserve"> LINK Excel.Sheet.12 "Pasta1" "Plan2!L3C4:L23C6" \a \f 5 \h  \* MERGEFORMAT </w:instrText>
      </w:r>
      <w:r w:rsidR="00845BFA">
        <w:rPr>
          <w:noProof/>
          <w:lang w:val="en-US"/>
        </w:rPr>
        <w:fldChar w:fldCharType="separate"/>
      </w:r>
    </w:p>
    <w:tbl>
      <w:tblPr>
        <w:tblStyle w:val="Tabelacomgrade"/>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2550"/>
        <w:gridCol w:w="1309"/>
      </w:tblGrid>
      <w:tr w:rsidR="00845BFA" w:rsidRPr="00845BFA" w14:paraId="50ACF102" w14:textId="77777777" w:rsidTr="00845BFA">
        <w:trPr>
          <w:trHeight w:val="300"/>
        </w:trPr>
        <w:tc>
          <w:tcPr>
            <w:tcW w:w="960" w:type="dxa"/>
            <w:noWrap/>
            <w:hideMark/>
          </w:tcPr>
          <w:p w14:paraId="629A8919" w14:textId="77777777" w:rsidR="00845BFA" w:rsidRPr="00845BFA" w:rsidRDefault="00845BFA" w:rsidP="00845BFA">
            <w:pPr>
              <w:widowControl w:val="0"/>
              <w:autoSpaceDE w:val="0"/>
              <w:autoSpaceDN w:val="0"/>
              <w:adjustRightInd w:val="0"/>
              <w:ind w:left="640" w:hanging="640"/>
              <w:rPr>
                <w:rFonts w:cs="Times New Roman"/>
                <w:b/>
                <w:noProof/>
              </w:rPr>
            </w:pPr>
            <w:r w:rsidRPr="00845BFA">
              <w:rPr>
                <w:rFonts w:cs="Times New Roman"/>
                <w:b/>
                <w:noProof/>
              </w:rPr>
              <w:t>Símbolo</w:t>
            </w:r>
          </w:p>
        </w:tc>
        <w:tc>
          <w:tcPr>
            <w:tcW w:w="2550" w:type="dxa"/>
            <w:noWrap/>
            <w:hideMark/>
          </w:tcPr>
          <w:p w14:paraId="5D8A6E7B" w14:textId="77777777" w:rsidR="00845BFA" w:rsidRPr="00845BFA" w:rsidRDefault="00845BFA" w:rsidP="00845BFA">
            <w:pPr>
              <w:widowControl w:val="0"/>
              <w:autoSpaceDE w:val="0"/>
              <w:autoSpaceDN w:val="0"/>
              <w:adjustRightInd w:val="0"/>
              <w:ind w:left="33" w:hanging="33"/>
              <w:jc w:val="left"/>
              <w:rPr>
                <w:rFonts w:cs="Times New Roman"/>
                <w:b/>
                <w:noProof/>
              </w:rPr>
            </w:pPr>
            <w:r w:rsidRPr="00845BFA">
              <w:rPr>
                <w:rFonts w:cs="Times New Roman"/>
                <w:b/>
                <w:noProof/>
              </w:rPr>
              <w:t>Descrição</w:t>
            </w:r>
          </w:p>
        </w:tc>
        <w:tc>
          <w:tcPr>
            <w:tcW w:w="1309" w:type="dxa"/>
            <w:noWrap/>
            <w:hideMark/>
          </w:tcPr>
          <w:p w14:paraId="22BD3BD4" w14:textId="77777777" w:rsidR="00845BFA" w:rsidRPr="00845BFA" w:rsidRDefault="00845BFA" w:rsidP="00845BFA">
            <w:pPr>
              <w:widowControl w:val="0"/>
              <w:autoSpaceDE w:val="0"/>
              <w:autoSpaceDN w:val="0"/>
              <w:adjustRightInd w:val="0"/>
              <w:ind w:left="640" w:hanging="640"/>
              <w:rPr>
                <w:rFonts w:cs="Times New Roman"/>
                <w:b/>
                <w:noProof/>
              </w:rPr>
            </w:pPr>
            <w:r w:rsidRPr="00845BFA">
              <w:rPr>
                <w:rFonts w:cs="Times New Roman"/>
                <w:b/>
                <w:noProof/>
              </w:rPr>
              <w:t>Unidade</w:t>
            </w:r>
          </w:p>
        </w:tc>
      </w:tr>
      <w:tr w:rsidR="00845BFA" w:rsidRPr="00845BFA" w14:paraId="572BD66D" w14:textId="77777777" w:rsidTr="00845BFA">
        <w:trPr>
          <w:trHeight w:val="300"/>
        </w:trPr>
        <w:tc>
          <w:tcPr>
            <w:tcW w:w="960" w:type="dxa"/>
            <w:noWrap/>
            <w:hideMark/>
          </w:tcPr>
          <w:p w14:paraId="15A6AE06"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C</w:t>
            </w:r>
            <w:r w:rsidRPr="00845BFA">
              <w:rPr>
                <w:rFonts w:cs="Times New Roman"/>
                <w:i/>
                <w:noProof/>
                <w:vertAlign w:val="subscript"/>
              </w:rPr>
              <w:t>el</w:t>
            </w:r>
          </w:p>
        </w:tc>
        <w:tc>
          <w:tcPr>
            <w:tcW w:w="2550" w:type="dxa"/>
            <w:noWrap/>
            <w:hideMark/>
          </w:tcPr>
          <w:p w14:paraId="366EDCEB"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Custo da eletricidade</w:t>
            </w:r>
          </w:p>
        </w:tc>
        <w:tc>
          <w:tcPr>
            <w:tcW w:w="1309" w:type="dxa"/>
            <w:noWrap/>
            <w:hideMark/>
          </w:tcPr>
          <w:p w14:paraId="561DFAD0"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USD/MWh</w:t>
            </w:r>
          </w:p>
        </w:tc>
      </w:tr>
      <w:tr w:rsidR="00845BFA" w:rsidRPr="00845BFA" w14:paraId="60FEAAFD" w14:textId="77777777" w:rsidTr="00845BFA">
        <w:trPr>
          <w:trHeight w:val="300"/>
        </w:trPr>
        <w:tc>
          <w:tcPr>
            <w:tcW w:w="960" w:type="dxa"/>
            <w:noWrap/>
            <w:hideMark/>
          </w:tcPr>
          <w:p w14:paraId="47CDFDC5"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C</w:t>
            </w:r>
            <w:r w:rsidRPr="00845BFA">
              <w:rPr>
                <w:rFonts w:cs="Times New Roman"/>
                <w:i/>
                <w:noProof/>
                <w:vertAlign w:val="subscript"/>
              </w:rPr>
              <w:t>O&amp;M</w:t>
            </w:r>
          </w:p>
        </w:tc>
        <w:tc>
          <w:tcPr>
            <w:tcW w:w="2550" w:type="dxa"/>
            <w:noWrap/>
            <w:hideMark/>
          </w:tcPr>
          <w:p w14:paraId="448D572B"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Custos com operação e manutenção</w:t>
            </w:r>
          </w:p>
        </w:tc>
        <w:tc>
          <w:tcPr>
            <w:tcW w:w="1309" w:type="dxa"/>
            <w:noWrap/>
            <w:hideMark/>
          </w:tcPr>
          <w:p w14:paraId="7D55D5F9"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USD/MWh</w:t>
            </w:r>
          </w:p>
        </w:tc>
      </w:tr>
      <w:tr w:rsidR="00845BFA" w:rsidRPr="00845BFA" w14:paraId="5D7378D4" w14:textId="77777777" w:rsidTr="00845BFA">
        <w:trPr>
          <w:trHeight w:val="300"/>
        </w:trPr>
        <w:tc>
          <w:tcPr>
            <w:tcW w:w="960" w:type="dxa"/>
            <w:noWrap/>
            <w:hideMark/>
          </w:tcPr>
          <w:p w14:paraId="24F29D94"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E</w:t>
            </w:r>
            <w:r w:rsidRPr="00845BFA">
              <w:rPr>
                <w:rFonts w:cs="Times New Roman"/>
                <w:i/>
                <w:noProof/>
                <w:vertAlign w:val="subscript"/>
              </w:rPr>
              <w:t>el</w:t>
            </w:r>
          </w:p>
        </w:tc>
        <w:tc>
          <w:tcPr>
            <w:tcW w:w="2550" w:type="dxa"/>
            <w:noWrap/>
            <w:hideMark/>
          </w:tcPr>
          <w:p w14:paraId="0A93FF4D"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Energia elétrica gerada</w:t>
            </w:r>
          </w:p>
        </w:tc>
        <w:tc>
          <w:tcPr>
            <w:tcW w:w="1309" w:type="dxa"/>
            <w:noWrap/>
            <w:hideMark/>
          </w:tcPr>
          <w:p w14:paraId="6AB5D9DA"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MWh</w:t>
            </w:r>
          </w:p>
        </w:tc>
      </w:tr>
      <w:tr w:rsidR="00845BFA" w:rsidRPr="00845BFA" w14:paraId="169433B5" w14:textId="77777777" w:rsidTr="00845BFA">
        <w:trPr>
          <w:trHeight w:val="300"/>
        </w:trPr>
        <w:tc>
          <w:tcPr>
            <w:tcW w:w="960" w:type="dxa"/>
            <w:noWrap/>
            <w:hideMark/>
          </w:tcPr>
          <w:p w14:paraId="31EF47CA"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E</w:t>
            </w:r>
            <w:r w:rsidRPr="00845BFA">
              <w:rPr>
                <w:rFonts w:cs="Times New Roman"/>
                <w:i/>
                <w:noProof/>
                <w:vertAlign w:val="subscript"/>
              </w:rPr>
              <w:t>el,eletr</w:t>
            </w:r>
          </w:p>
        </w:tc>
        <w:tc>
          <w:tcPr>
            <w:tcW w:w="2550" w:type="dxa"/>
            <w:noWrap/>
            <w:hideMark/>
          </w:tcPr>
          <w:p w14:paraId="43A1E401"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Energia elétrica consumida pelo eletrolisdador</w:t>
            </w:r>
          </w:p>
        </w:tc>
        <w:tc>
          <w:tcPr>
            <w:tcW w:w="1309" w:type="dxa"/>
            <w:noWrap/>
            <w:hideMark/>
          </w:tcPr>
          <w:p w14:paraId="34B4C91D"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MWh</w:t>
            </w:r>
          </w:p>
        </w:tc>
      </w:tr>
      <w:tr w:rsidR="00845BFA" w:rsidRPr="00845BFA" w14:paraId="08D3EAFF" w14:textId="77777777" w:rsidTr="00845BFA">
        <w:trPr>
          <w:trHeight w:val="300"/>
        </w:trPr>
        <w:tc>
          <w:tcPr>
            <w:tcW w:w="960" w:type="dxa"/>
            <w:noWrap/>
            <w:hideMark/>
          </w:tcPr>
          <w:p w14:paraId="4E9055E2"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f</w:t>
            </w:r>
          </w:p>
        </w:tc>
        <w:tc>
          <w:tcPr>
            <w:tcW w:w="2550" w:type="dxa"/>
            <w:noWrap/>
            <w:hideMark/>
          </w:tcPr>
          <w:p w14:paraId="123BA29C"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Fator da anuidade</w:t>
            </w:r>
          </w:p>
        </w:tc>
        <w:tc>
          <w:tcPr>
            <w:tcW w:w="1309" w:type="dxa"/>
            <w:noWrap/>
            <w:hideMark/>
          </w:tcPr>
          <w:p w14:paraId="14D9F68B"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w:t>
            </w:r>
          </w:p>
        </w:tc>
      </w:tr>
      <w:tr w:rsidR="00845BFA" w:rsidRPr="00845BFA" w14:paraId="66929BB5" w14:textId="77777777" w:rsidTr="00845BFA">
        <w:trPr>
          <w:trHeight w:val="300"/>
        </w:trPr>
        <w:tc>
          <w:tcPr>
            <w:tcW w:w="960" w:type="dxa"/>
            <w:noWrap/>
            <w:hideMark/>
          </w:tcPr>
          <w:p w14:paraId="44EAEA77"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I</w:t>
            </w:r>
            <w:r w:rsidRPr="00845BFA">
              <w:rPr>
                <w:rFonts w:cs="Times New Roman"/>
                <w:i/>
                <w:noProof/>
                <w:vertAlign w:val="subscript"/>
              </w:rPr>
              <w:t>pl</w:t>
            </w:r>
          </w:p>
        </w:tc>
        <w:tc>
          <w:tcPr>
            <w:tcW w:w="2550" w:type="dxa"/>
            <w:noWrap/>
            <w:hideMark/>
          </w:tcPr>
          <w:p w14:paraId="0331A90E"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Investimento na planta</w:t>
            </w:r>
          </w:p>
        </w:tc>
        <w:tc>
          <w:tcPr>
            <w:tcW w:w="1309" w:type="dxa"/>
            <w:noWrap/>
            <w:hideMark/>
          </w:tcPr>
          <w:p w14:paraId="232F3F0D"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USD</w:t>
            </w:r>
          </w:p>
        </w:tc>
      </w:tr>
      <w:tr w:rsidR="00845BFA" w:rsidRPr="00845BFA" w14:paraId="34BDD0BA" w14:textId="77777777" w:rsidTr="00845BFA">
        <w:trPr>
          <w:trHeight w:val="300"/>
        </w:trPr>
        <w:tc>
          <w:tcPr>
            <w:tcW w:w="960" w:type="dxa"/>
            <w:noWrap/>
            <w:hideMark/>
          </w:tcPr>
          <w:p w14:paraId="216C5243"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k</w:t>
            </w:r>
          </w:p>
        </w:tc>
        <w:tc>
          <w:tcPr>
            <w:tcW w:w="2550" w:type="dxa"/>
            <w:noWrap/>
            <w:hideMark/>
          </w:tcPr>
          <w:p w14:paraId="539C9035"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ano</w:t>
            </w:r>
          </w:p>
        </w:tc>
        <w:tc>
          <w:tcPr>
            <w:tcW w:w="1309" w:type="dxa"/>
            <w:noWrap/>
            <w:hideMark/>
          </w:tcPr>
          <w:p w14:paraId="3855201D"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w:t>
            </w:r>
          </w:p>
        </w:tc>
      </w:tr>
      <w:tr w:rsidR="00845BFA" w:rsidRPr="00845BFA" w14:paraId="79220CD3" w14:textId="77777777" w:rsidTr="00845BFA">
        <w:trPr>
          <w:trHeight w:val="300"/>
        </w:trPr>
        <w:tc>
          <w:tcPr>
            <w:tcW w:w="960" w:type="dxa"/>
            <w:noWrap/>
            <w:hideMark/>
          </w:tcPr>
          <w:p w14:paraId="70FD4164"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m</w:t>
            </w:r>
            <w:r w:rsidRPr="00845BFA">
              <w:rPr>
                <w:rFonts w:cs="Times New Roman"/>
                <w:i/>
                <w:noProof/>
                <w:vertAlign w:val="subscript"/>
              </w:rPr>
              <w:t>bio</w:t>
            </w:r>
          </w:p>
        </w:tc>
        <w:tc>
          <w:tcPr>
            <w:tcW w:w="2550" w:type="dxa"/>
            <w:noWrap/>
            <w:hideMark/>
          </w:tcPr>
          <w:p w14:paraId="3EC280A8"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 xml:space="preserve">vazão de biogás </w:t>
            </w:r>
          </w:p>
        </w:tc>
        <w:tc>
          <w:tcPr>
            <w:tcW w:w="1309" w:type="dxa"/>
            <w:noWrap/>
            <w:hideMark/>
          </w:tcPr>
          <w:p w14:paraId="46CE7317"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kg/dia</w:t>
            </w:r>
          </w:p>
        </w:tc>
      </w:tr>
      <w:tr w:rsidR="00845BFA" w:rsidRPr="00845BFA" w14:paraId="24FE000C" w14:textId="77777777" w:rsidTr="00845BFA">
        <w:trPr>
          <w:trHeight w:val="300"/>
        </w:trPr>
        <w:tc>
          <w:tcPr>
            <w:tcW w:w="960" w:type="dxa"/>
            <w:noWrap/>
            <w:hideMark/>
          </w:tcPr>
          <w:p w14:paraId="2A52E1D5"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m</w:t>
            </w:r>
            <w:r w:rsidRPr="00845BFA">
              <w:rPr>
                <w:rFonts w:cs="Times New Roman"/>
                <w:i/>
                <w:noProof/>
                <w:vertAlign w:val="subscript"/>
              </w:rPr>
              <w:t>H2</w:t>
            </w:r>
          </w:p>
        </w:tc>
        <w:tc>
          <w:tcPr>
            <w:tcW w:w="2550" w:type="dxa"/>
            <w:noWrap/>
            <w:hideMark/>
          </w:tcPr>
          <w:p w14:paraId="48AE6080"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vazão de hidrogênio no eletrolisador</w:t>
            </w:r>
          </w:p>
        </w:tc>
        <w:tc>
          <w:tcPr>
            <w:tcW w:w="1309" w:type="dxa"/>
            <w:noWrap/>
            <w:hideMark/>
          </w:tcPr>
          <w:p w14:paraId="64B8EA36"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kg/dia</w:t>
            </w:r>
          </w:p>
        </w:tc>
      </w:tr>
      <w:tr w:rsidR="00845BFA" w:rsidRPr="00845BFA" w14:paraId="7B497A35" w14:textId="77777777" w:rsidTr="00845BFA">
        <w:trPr>
          <w:trHeight w:val="300"/>
        </w:trPr>
        <w:tc>
          <w:tcPr>
            <w:tcW w:w="960" w:type="dxa"/>
            <w:noWrap/>
            <w:hideMark/>
          </w:tcPr>
          <w:p w14:paraId="3F548B73"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m</w:t>
            </w:r>
            <w:r w:rsidRPr="00845BFA">
              <w:rPr>
                <w:rFonts w:cs="Times New Roman"/>
                <w:i/>
                <w:noProof/>
                <w:vertAlign w:val="subscript"/>
              </w:rPr>
              <w:t>H2O</w:t>
            </w:r>
          </w:p>
        </w:tc>
        <w:tc>
          <w:tcPr>
            <w:tcW w:w="2550" w:type="dxa"/>
            <w:noWrap/>
            <w:hideMark/>
          </w:tcPr>
          <w:p w14:paraId="2976925F"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vazão de água no eletrolisador</w:t>
            </w:r>
          </w:p>
        </w:tc>
        <w:tc>
          <w:tcPr>
            <w:tcW w:w="1309" w:type="dxa"/>
            <w:noWrap/>
            <w:hideMark/>
          </w:tcPr>
          <w:p w14:paraId="44DA06F3"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kg/dia</w:t>
            </w:r>
          </w:p>
        </w:tc>
      </w:tr>
      <w:tr w:rsidR="00845BFA" w:rsidRPr="00845BFA" w14:paraId="42CF670B" w14:textId="77777777" w:rsidTr="00845BFA">
        <w:trPr>
          <w:trHeight w:val="300"/>
        </w:trPr>
        <w:tc>
          <w:tcPr>
            <w:tcW w:w="960" w:type="dxa"/>
            <w:noWrap/>
            <w:hideMark/>
          </w:tcPr>
          <w:p w14:paraId="4CE22C9A"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m</w:t>
            </w:r>
            <w:r w:rsidRPr="00845BFA">
              <w:rPr>
                <w:rFonts w:cs="Times New Roman"/>
                <w:i/>
                <w:noProof/>
                <w:vertAlign w:val="subscript"/>
              </w:rPr>
              <w:t>O2</w:t>
            </w:r>
          </w:p>
        </w:tc>
        <w:tc>
          <w:tcPr>
            <w:tcW w:w="2550" w:type="dxa"/>
            <w:noWrap/>
            <w:hideMark/>
          </w:tcPr>
          <w:p w14:paraId="1BD5F89F"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vazão de oxigênio no eletrolisador</w:t>
            </w:r>
          </w:p>
        </w:tc>
        <w:tc>
          <w:tcPr>
            <w:tcW w:w="1309" w:type="dxa"/>
            <w:noWrap/>
            <w:hideMark/>
          </w:tcPr>
          <w:p w14:paraId="7AAFBC15"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kg/dia</w:t>
            </w:r>
          </w:p>
        </w:tc>
      </w:tr>
      <w:tr w:rsidR="00845BFA" w:rsidRPr="00845BFA" w14:paraId="08701BAA" w14:textId="77777777" w:rsidTr="00845BFA">
        <w:trPr>
          <w:trHeight w:val="300"/>
        </w:trPr>
        <w:tc>
          <w:tcPr>
            <w:tcW w:w="960" w:type="dxa"/>
            <w:noWrap/>
            <w:hideMark/>
          </w:tcPr>
          <w:p w14:paraId="29B0DCC0"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PCI</w:t>
            </w:r>
            <w:r w:rsidRPr="00845BFA">
              <w:rPr>
                <w:rFonts w:cs="Times New Roman"/>
                <w:i/>
                <w:noProof/>
                <w:vertAlign w:val="subscript"/>
              </w:rPr>
              <w:t>Bio</w:t>
            </w:r>
          </w:p>
        </w:tc>
        <w:tc>
          <w:tcPr>
            <w:tcW w:w="2550" w:type="dxa"/>
            <w:noWrap/>
            <w:hideMark/>
          </w:tcPr>
          <w:p w14:paraId="01117DBB"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Poder Calorífico Inferior do biogás</w:t>
            </w:r>
          </w:p>
        </w:tc>
        <w:tc>
          <w:tcPr>
            <w:tcW w:w="1309" w:type="dxa"/>
            <w:noWrap/>
            <w:hideMark/>
          </w:tcPr>
          <w:p w14:paraId="17112975"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MJ/kg</w:t>
            </w:r>
          </w:p>
        </w:tc>
      </w:tr>
      <w:tr w:rsidR="00845BFA" w:rsidRPr="00845BFA" w14:paraId="29AC047B" w14:textId="77777777" w:rsidTr="00845BFA">
        <w:trPr>
          <w:trHeight w:val="300"/>
        </w:trPr>
        <w:tc>
          <w:tcPr>
            <w:tcW w:w="960" w:type="dxa"/>
            <w:noWrap/>
            <w:hideMark/>
          </w:tcPr>
          <w:p w14:paraId="4FE2038A"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PCI</w:t>
            </w:r>
            <w:r w:rsidRPr="00845BFA">
              <w:rPr>
                <w:rFonts w:cs="Times New Roman"/>
                <w:i/>
                <w:noProof/>
                <w:vertAlign w:val="subscript"/>
              </w:rPr>
              <w:t>H2</w:t>
            </w:r>
          </w:p>
        </w:tc>
        <w:tc>
          <w:tcPr>
            <w:tcW w:w="2550" w:type="dxa"/>
            <w:noWrap/>
            <w:hideMark/>
          </w:tcPr>
          <w:p w14:paraId="2CAE9EDC"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Poder Calorífico Inferior do hidrogênio</w:t>
            </w:r>
          </w:p>
        </w:tc>
        <w:tc>
          <w:tcPr>
            <w:tcW w:w="1309" w:type="dxa"/>
            <w:noWrap/>
            <w:hideMark/>
          </w:tcPr>
          <w:p w14:paraId="4211385C"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MJ/kg</w:t>
            </w:r>
          </w:p>
        </w:tc>
      </w:tr>
      <w:tr w:rsidR="00845BFA" w:rsidRPr="00845BFA" w14:paraId="58FBDFC8" w14:textId="77777777" w:rsidTr="00845BFA">
        <w:trPr>
          <w:trHeight w:val="300"/>
        </w:trPr>
        <w:tc>
          <w:tcPr>
            <w:tcW w:w="960" w:type="dxa"/>
            <w:noWrap/>
            <w:hideMark/>
          </w:tcPr>
          <w:p w14:paraId="47349B1B"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P</w:t>
            </w:r>
            <w:r w:rsidRPr="00845BFA">
              <w:rPr>
                <w:rFonts w:cs="Times New Roman"/>
                <w:i/>
                <w:noProof/>
                <w:vertAlign w:val="subscript"/>
              </w:rPr>
              <w:t>el</w:t>
            </w:r>
          </w:p>
        </w:tc>
        <w:tc>
          <w:tcPr>
            <w:tcW w:w="2550" w:type="dxa"/>
            <w:noWrap/>
            <w:hideMark/>
          </w:tcPr>
          <w:p w14:paraId="482F2C08"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Potência de geração elétrica</w:t>
            </w:r>
          </w:p>
        </w:tc>
        <w:tc>
          <w:tcPr>
            <w:tcW w:w="1309" w:type="dxa"/>
            <w:noWrap/>
            <w:hideMark/>
          </w:tcPr>
          <w:p w14:paraId="54B904D9"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kW</w:t>
            </w:r>
          </w:p>
        </w:tc>
      </w:tr>
      <w:tr w:rsidR="00845BFA" w:rsidRPr="00845BFA" w14:paraId="6B21BAB1" w14:textId="77777777" w:rsidTr="00845BFA">
        <w:trPr>
          <w:trHeight w:val="300"/>
        </w:trPr>
        <w:tc>
          <w:tcPr>
            <w:tcW w:w="960" w:type="dxa"/>
            <w:noWrap/>
            <w:hideMark/>
          </w:tcPr>
          <w:p w14:paraId="51C4EB86"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P</w:t>
            </w:r>
            <w:r w:rsidRPr="00845BFA">
              <w:rPr>
                <w:rFonts w:cs="Times New Roman"/>
                <w:i/>
                <w:noProof/>
                <w:vertAlign w:val="subscript"/>
              </w:rPr>
              <w:t>TG</w:t>
            </w:r>
          </w:p>
        </w:tc>
        <w:tc>
          <w:tcPr>
            <w:tcW w:w="2550" w:type="dxa"/>
            <w:noWrap/>
            <w:hideMark/>
          </w:tcPr>
          <w:p w14:paraId="0A8C54CA"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Potência da Turbina a Gás</w:t>
            </w:r>
          </w:p>
        </w:tc>
        <w:tc>
          <w:tcPr>
            <w:tcW w:w="1309" w:type="dxa"/>
            <w:noWrap/>
            <w:hideMark/>
          </w:tcPr>
          <w:p w14:paraId="449D8C72"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kW</w:t>
            </w:r>
          </w:p>
        </w:tc>
      </w:tr>
      <w:tr w:rsidR="00845BFA" w:rsidRPr="00845BFA" w14:paraId="05BEE31C" w14:textId="77777777" w:rsidTr="00845BFA">
        <w:trPr>
          <w:trHeight w:val="300"/>
        </w:trPr>
        <w:tc>
          <w:tcPr>
            <w:tcW w:w="960" w:type="dxa"/>
            <w:noWrap/>
            <w:hideMark/>
          </w:tcPr>
          <w:p w14:paraId="08040ADF"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lastRenderedPageBreak/>
              <w:t>t</w:t>
            </w:r>
            <w:r w:rsidRPr="00845BFA">
              <w:rPr>
                <w:rFonts w:cs="Times New Roman"/>
                <w:i/>
                <w:noProof/>
                <w:vertAlign w:val="subscript"/>
              </w:rPr>
              <w:t>op</w:t>
            </w:r>
          </w:p>
        </w:tc>
        <w:tc>
          <w:tcPr>
            <w:tcW w:w="2550" w:type="dxa"/>
            <w:noWrap/>
            <w:hideMark/>
          </w:tcPr>
          <w:p w14:paraId="1E21B626"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Tempo diário de operação</w:t>
            </w:r>
          </w:p>
        </w:tc>
        <w:tc>
          <w:tcPr>
            <w:tcW w:w="1309" w:type="dxa"/>
            <w:noWrap/>
            <w:hideMark/>
          </w:tcPr>
          <w:p w14:paraId="0E559EEF"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h/dia</w:t>
            </w:r>
          </w:p>
        </w:tc>
      </w:tr>
      <w:tr w:rsidR="00845BFA" w:rsidRPr="00845BFA" w14:paraId="4D45CF23" w14:textId="77777777" w:rsidTr="00845BFA">
        <w:trPr>
          <w:trHeight w:val="285"/>
        </w:trPr>
        <w:tc>
          <w:tcPr>
            <w:tcW w:w="960" w:type="dxa"/>
            <w:noWrap/>
            <w:hideMark/>
          </w:tcPr>
          <w:p w14:paraId="071B6A10"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η</w:t>
            </w:r>
            <w:r w:rsidRPr="00845BFA">
              <w:rPr>
                <w:rFonts w:cs="Times New Roman"/>
                <w:i/>
                <w:noProof/>
                <w:vertAlign w:val="subscript"/>
              </w:rPr>
              <w:t>ele</w:t>
            </w:r>
          </w:p>
        </w:tc>
        <w:tc>
          <w:tcPr>
            <w:tcW w:w="2550" w:type="dxa"/>
            <w:noWrap/>
            <w:hideMark/>
          </w:tcPr>
          <w:p w14:paraId="41C0A6D4"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Eficiência do gerador elétrico</w:t>
            </w:r>
          </w:p>
        </w:tc>
        <w:tc>
          <w:tcPr>
            <w:tcW w:w="1309" w:type="dxa"/>
            <w:noWrap/>
            <w:hideMark/>
          </w:tcPr>
          <w:p w14:paraId="16CCE3A4"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w:t>
            </w:r>
          </w:p>
        </w:tc>
      </w:tr>
      <w:tr w:rsidR="00845BFA" w:rsidRPr="00845BFA" w14:paraId="45BBEA42" w14:textId="77777777" w:rsidTr="00845BFA">
        <w:trPr>
          <w:trHeight w:val="285"/>
        </w:trPr>
        <w:tc>
          <w:tcPr>
            <w:tcW w:w="960" w:type="dxa"/>
            <w:noWrap/>
            <w:hideMark/>
          </w:tcPr>
          <w:p w14:paraId="0A285346"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η</w:t>
            </w:r>
            <w:r w:rsidRPr="00845BFA">
              <w:rPr>
                <w:rFonts w:cs="Times New Roman"/>
                <w:i/>
                <w:noProof/>
                <w:vertAlign w:val="subscript"/>
              </w:rPr>
              <w:t>SV</w:t>
            </w:r>
          </w:p>
        </w:tc>
        <w:tc>
          <w:tcPr>
            <w:tcW w:w="2550" w:type="dxa"/>
            <w:noWrap/>
            <w:hideMark/>
          </w:tcPr>
          <w:p w14:paraId="480F6AF0"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Porcentagem de Sólidos Voláteis em relação aos sólidos totais</w:t>
            </w:r>
          </w:p>
        </w:tc>
        <w:tc>
          <w:tcPr>
            <w:tcW w:w="1309" w:type="dxa"/>
            <w:noWrap/>
            <w:hideMark/>
          </w:tcPr>
          <w:p w14:paraId="1286501B"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w:t>
            </w:r>
          </w:p>
        </w:tc>
      </w:tr>
      <w:tr w:rsidR="00845BFA" w:rsidRPr="00845BFA" w14:paraId="56DDC522" w14:textId="77777777" w:rsidTr="00845BFA">
        <w:trPr>
          <w:trHeight w:val="285"/>
        </w:trPr>
        <w:tc>
          <w:tcPr>
            <w:tcW w:w="960" w:type="dxa"/>
            <w:noWrap/>
            <w:hideMark/>
          </w:tcPr>
          <w:p w14:paraId="5516C6A2"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η</w:t>
            </w:r>
            <w:r w:rsidRPr="00845BFA">
              <w:rPr>
                <w:rFonts w:cs="Times New Roman"/>
                <w:i/>
                <w:noProof/>
                <w:vertAlign w:val="subscript"/>
              </w:rPr>
              <w:t>Bio</w:t>
            </w:r>
          </w:p>
        </w:tc>
        <w:tc>
          <w:tcPr>
            <w:tcW w:w="2550" w:type="dxa"/>
            <w:noWrap/>
            <w:hideMark/>
          </w:tcPr>
          <w:p w14:paraId="65CF1AD4"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Taxa de conversão de SV em biogás</w:t>
            </w:r>
          </w:p>
        </w:tc>
        <w:tc>
          <w:tcPr>
            <w:tcW w:w="1309" w:type="dxa"/>
            <w:noWrap/>
            <w:hideMark/>
          </w:tcPr>
          <w:p w14:paraId="55451905"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kg/ton</w:t>
            </w:r>
          </w:p>
        </w:tc>
      </w:tr>
      <w:tr w:rsidR="00845BFA" w:rsidRPr="00845BFA" w14:paraId="6A11E08D" w14:textId="77777777" w:rsidTr="00845BFA">
        <w:trPr>
          <w:trHeight w:val="300"/>
        </w:trPr>
        <w:tc>
          <w:tcPr>
            <w:tcW w:w="960" w:type="dxa"/>
            <w:noWrap/>
            <w:hideMark/>
          </w:tcPr>
          <w:p w14:paraId="14E08DE9" w14:textId="77777777" w:rsidR="00845BFA" w:rsidRPr="00845BFA" w:rsidRDefault="00845BFA" w:rsidP="00845BFA">
            <w:pPr>
              <w:widowControl w:val="0"/>
              <w:autoSpaceDE w:val="0"/>
              <w:autoSpaceDN w:val="0"/>
              <w:adjustRightInd w:val="0"/>
              <w:ind w:left="640" w:hanging="640"/>
              <w:rPr>
                <w:rFonts w:cs="Times New Roman"/>
                <w:i/>
                <w:noProof/>
              </w:rPr>
            </w:pPr>
            <w:r w:rsidRPr="00845BFA">
              <w:rPr>
                <w:rFonts w:cs="Times New Roman"/>
                <w:i/>
                <w:noProof/>
              </w:rPr>
              <w:t>η</w:t>
            </w:r>
            <w:r w:rsidRPr="00845BFA">
              <w:rPr>
                <w:rFonts w:cs="Times New Roman"/>
                <w:i/>
                <w:noProof/>
                <w:vertAlign w:val="subscript"/>
              </w:rPr>
              <w:t>T,TG</w:t>
            </w:r>
          </w:p>
        </w:tc>
        <w:tc>
          <w:tcPr>
            <w:tcW w:w="2550" w:type="dxa"/>
            <w:noWrap/>
            <w:hideMark/>
          </w:tcPr>
          <w:p w14:paraId="05B0CDFC" w14:textId="77777777" w:rsidR="00845BFA" w:rsidRPr="00845BFA" w:rsidRDefault="00845BFA" w:rsidP="00845BFA">
            <w:pPr>
              <w:widowControl w:val="0"/>
              <w:autoSpaceDE w:val="0"/>
              <w:autoSpaceDN w:val="0"/>
              <w:adjustRightInd w:val="0"/>
              <w:ind w:left="33" w:hanging="33"/>
              <w:jc w:val="left"/>
              <w:rPr>
                <w:rFonts w:cs="Times New Roman"/>
                <w:noProof/>
              </w:rPr>
            </w:pPr>
            <w:r w:rsidRPr="00845BFA">
              <w:rPr>
                <w:rFonts w:cs="Times New Roman"/>
                <w:noProof/>
              </w:rPr>
              <w:t>Eficiência térmica da Turbin a Gás</w:t>
            </w:r>
          </w:p>
        </w:tc>
        <w:tc>
          <w:tcPr>
            <w:tcW w:w="1309" w:type="dxa"/>
            <w:noWrap/>
            <w:hideMark/>
          </w:tcPr>
          <w:p w14:paraId="6ADAE1B6" w14:textId="77777777" w:rsidR="00845BFA" w:rsidRPr="00845BFA" w:rsidRDefault="00845BFA" w:rsidP="00845BFA">
            <w:pPr>
              <w:widowControl w:val="0"/>
              <w:autoSpaceDE w:val="0"/>
              <w:autoSpaceDN w:val="0"/>
              <w:adjustRightInd w:val="0"/>
              <w:ind w:left="640" w:hanging="640"/>
              <w:rPr>
                <w:rFonts w:cs="Times New Roman"/>
                <w:noProof/>
              </w:rPr>
            </w:pPr>
            <w:r w:rsidRPr="00845BFA">
              <w:rPr>
                <w:rFonts w:cs="Times New Roman"/>
                <w:noProof/>
              </w:rPr>
              <w:t>-</w:t>
            </w:r>
          </w:p>
        </w:tc>
      </w:tr>
    </w:tbl>
    <w:p w14:paraId="16CC4767" w14:textId="4C0282EA" w:rsidR="00576008" w:rsidRPr="0029245C" w:rsidRDefault="00845BFA" w:rsidP="0029245C">
      <w:pPr>
        <w:widowControl w:val="0"/>
        <w:autoSpaceDE w:val="0"/>
        <w:autoSpaceDN w:val="0"/>
        <w:adjustRightInd w:val="0"/>
        <w:spacing w:after="240"/>
        <w:ind w:left="640" w:hanging="640"/>
        <w:rPr>
          <w:rFonts w:cs="Times New Roman"/>
          <w:noProof/>
          <w:lang w:val="en-US"/>
        </w:rPr>
      </w:pPr>
      <w:r>
        <w:rPr>
          <w:rFonts w:cs="Times New Roman"/>
          <w:noProof/>
          <w:lang w:val="en-US"/>
        </w:rPr>
        <w:fldChar w:fldCharType="end"/>
      </w:r>
    </w:p>
    <w:p w14:paraId="17D53EEF" w14:textId="2058C3D1" w:rsidR="006B235A" w:rsidRPr="00576008" w:rsidRDefault="0029245C" w:rsidP="0029245C">
      <w:pPr>
        <w:widowControl w:val="0"/>
        <w:autoSpaceDE w:val="0"/>
        <w:autoSpaceDN w:val="0"/>
        <w:adjustRightInd w:val="0"/>
        <w:spacing w:after="240"/>
        <w:ind w:left="640" w:hanging="640"/>
        <w:rPr>
          <w:rFonts w:cs="Times New Roman"/>
          <w:color w:val="000000" w:themeColor="text1"/>
          <w:lang w:val="pt-BR"/>
        </w:rPr>
      </w:pPr>
      <w:r w:rsidRPr="00E63A98">
        <w:rPr>
          <w:rFonts w:cs="Times New Roman"/>
          <w:color w:val="000000" w:themeColor="text1"/>
        </w:rPr>
        <w:fldChar w:fldCharType="end"/>
      </w:r>
    </w:p>
    <w:p w14:paraId="5CC9F31F" w14:textId="0B50EED8" w:rsidR="0073610A" w:rsidRPr="00576008" w:rsidRDefault="0073610A" w:rsidP="0029245C">
      <w:pPr>
        <w:spacing w:after="240"/>
        <w:rPr>
          <w:i/>
          <w:noProof/>
          <w:lang w:val="pt-BR"/>
        </w:rPr>
      </w:pPr>
    </w:p>
    <w:sectPr w:rsidR="0073610A" w:rsidRPr="00576008"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BBA2" w14:textId="77777777" w:rsidR="00715823" w:rsidRDefault="00715823" w:rsidP="00FB73A9">
      <w:r>
        <w:separator/>
      </w:r>
    </w:p>
  </w:endnote>
  <w:endnote w:type="continuationSeparator" w:id="0">
    <w:p w14:paraId="257534AD" w14:textId="77777777" w:rsidR="00715823" w:rsidRDefault="00715823"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C2F31" w14:textId="77777777" w:rsidR="00715823" w:rsidRDefault="00715823" w:rsidP="00FB73A9">
      <w:r>
        <w:separator/>
      </w:r>
    </w:p>
  </w:footnote>
  <w:footnote w:type="continuationSeparator" w:id="0">
    <w:p w14:paraId="376426A5" w14:textId="77777777" w:rsidR="00715823" w:rsidRDefault="00715823" w:rsidP="00FB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052530"/>
      <w:docPartObj>
        <w:docPartGallery w:val="Page Numbers (Top of Page)"/>
        <w:docPartUnique/>
      </w:docPartObj>
    </w:sdtPr>
    <w:sdtEndPr>
      <w:rPr>
        <w:rFonts w:ascii="Square721 Cn BT" w:hAnsi="Square721 Cn BT"/>
      </w:rPr>
    </w:sdtEndPr>
    <w:sdtContent>
      <w:p w14:paraId="689BFAFF" w14:textId="5E21F354" w:rsidR="0055406C" w:rsidRPr="00426533" w:rsidRDefault="0055406C" w:rsidP="00FB73A9">
        <w:pPr>
          <w:pStyle w:val="Cabealho"/>
          <w:rPr>
            <w:rFonts w:cs="Times New Roman"/>
          </w:rPr>
        </w:pPr>
        <w:r w:rsidRPr="00426533">
          <w:rPr>
            <w:rFonts w:cs="Times New Roman"/>
            <w:b/>
            <w:noProof/>
            <w:sz w:val="16"/>
            <w:szCs w:val="16"/>
            <w:lang w:val="pt-BR" w:eastAsia="pt-BR"/>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55406C" w:rsidRPr="004906A8" w:rsidRDefault="0055406C"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31"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55406C" w:rsidRPr="004906A8" w:rsidRDefault="0055406C"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9B1FD4" w:rsidRPr="009B1FD4">
          <w:rPr>
            <w:rFonts w:cs="Times New Roman"/>
            <w:b/>
            <w:noProof/>
            <w:sz w:val="16"/>
            <w:szCs w:val="16"/>
            <w:lang w:val="es-ES"/>
          </w:rPr>
          <w:t>8</w:t>
        </w:r>
        <w:r w:rsidRPr="00426533">
          <w:rPr>
            <w:rFonts w:cs="Times New Roman"/>
            <w:b/>
            <w:sz w:val="16"/>
            <w:szCs w:val="16"/>
          </w:rPr>
          <w:fldChar w:fldCharType="end"/>
        </w:r>
      </w:p>
      <w:p w14:paraId="7F0915D4" w14:textId="77777777" w:rsidR="0055406C" w:rsidRDefault="0055406C" w:rsidP="00FB73A9">
        <w:pPr>
          <w:pStyle w:val="Cabealho"/>
          <w:rPr>
            <w:rFonts w:ascii="Square721 Cn BT" w:hAnsi="Square721 Cn BT"/>
          </w:rPr>
        </w:pPr>
      </w:p>
      <w:p w14:paraId="52F070CB" w14:textId="6A761940" w:rsidR="0055406C" w:rsidRPr="00463356" w:rsidRDefault="00715823" w:rsidP="00FB73A9">
        <w:pPr>
          <w:pStyle w:val="Cabealho"/>
          <w:rPr>
            <w:rFonts w:ascii="Square721 Cn BT" w:hAnsi="Square721 Cn BT"/>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D298" w14:textId="3BF17730" w:rsidR="0055406C" w:rsidRDefault="0055406C" w:rsidP="00463356">
    <w:pPr>
      <w:pStyle w:val="Cabealho"/>
      <w:tabs>
        <w:tab w:val="clear" w:pos="8838"/>
      </w:tabs>
      <w:jc w:val="right"/>
      <w:rPr>
        <w:rFonts w:ascii="Square721 Cn BT" w:hAnsi="Square721 Cn BT"/>
      </w:rPr>
    </w:pPr>
    <w:r>
      <w:rPr>
        <w:noProof/>
        <w:lang w:val="pt-BR" w:eastAsia="pt-BR"/>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55406C" w:rsidRPr="00FB73A9" w:rsidRDefault="0055406C" w:rsidP="00FB73A9">
                          <w:pPr>
                            <w:rPr>
                              <w:sz w:val="16"/>
                              <w:szCs w:val="16"/>
                            </w:rPr>
                          </w:pPr>
                          <w:r w:rsidRPr="00FB73A9">
                            <w:rPr>
                              <w:sz w:val="16"/>
                              <w:szCs w:val="16"/>
                            </w:rPr>
                            <w:t xml:space="preserve">Título en el idioma </w:t>
                          </w:r>
                          <w:r>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2"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zKAIAACkEAAAOAAAAZHJzL2Uyb0RvYy54bWysU9tu2zAMfR+wfxD0vjjxkrQx4hRdugwD&#10;ugvQ7QNoSY6FyaInKbG7ry8lp2m2vQ3zg0Ca5NHhIbW+GVrDjsp5jbbks8mUM2UFSm33Jf/+bffm&#10;mjMfwEowaFXJH5XnN5vXr9Z9V6gcGzRSOUYg1hd9V/ImhK7IMi8a1YKfYKcsBWt0LQRy3T6TDnpC&#10;b02WT6fLrEcnO4dCeU9/78Yg3yT8ulYifKlrrwIzJSduIZ0unVU8s80air2DrtHiRAP+gUUL2tKl&#10;Z6g7CMAOTv8F1Wrh0GMdJgLbDOtaC5V6oG5m0z+6eWigU6kXEsd3Z5n8/4MVn49fHdOy5AvOLLQ0&#10;ou0BpEMmFQtqCMjyKFLf+YJyHzrKDsM7HGjYqWHf3aP44ZnFbQN2r26dw75RIInkLFZmF6Ujjo8g&#10;Vf8JJd0Gh4AJaKhdGxUkTRih07AezwMiHkzQz/ly9nY1o5CgWL6cX60W6Qoonqs758MHhS2LRskd&#10;LUBCh+O9D5ENFM8p8TKPRsudNiY5bl9tjWNHoGXZpe+E/luasawv+WqRLxKyxVif9qjVgZbZ6Lbk&#10;19P4xXIoohrvrUx2AG1Gm5gYe5InKjJqE4ZqSONI2kXpKpSPpJfDcXfprZHRoPvFWU97W3L/8wBO&#10;cWY+WtJ8NZvP46InZ764yslxl5HqMgJWEFTJA2ejuQ3pcUTaFm9pNrVOsr0wOVGmfUxqnt5OXPhL&#10;P2W9vPDNEwAAAP//AwBQSwMEFAAGAAgAAAAhACOBGmXeAAAACQEAAA8AAABkcnMvZG93bnJldi54&#10;bWxMj89Og0AQh+8mvsNmTLyYdqFgaSlLoyYar619gIGdApHdJey20Ld3POlt/nz5zTfFfja9uNLo&#10;O2cVxMsIBNna6c42Ck5f74sNCB/QauydJQU38rAv7+8KzLWb7IGux9AIDrE+RwVtCEMupa9bMuiX&#10;biDLu7MbDQZux0bqEScON71cRdFaGuwsX2hxoLeW6u/jxSg4f05Pz9up+gin7JCuX7HLKndT6vFh&#10;ftmBCDSHPxh+9VkdSnaq3MVqL3oFizhNGOUiSUEwkMUrHlQKkk0Csizk/w/KHwAAAP//AwBQSwEC&#10;LQAUAAYACAAAACEAtoM4kv4AAADhAQAAEwAAAAAAAAAAAAAAAAAAAAAAW0NvbnRlbnRfVHlwZXNd&#10;LnhtbFBLAQItABQABgAIAAAAIQA4/SH/1gAAAJQBAAALAAAAAAAAAAAAAAAAAC8BAABfcmVscy8u&#10;cmVsc1BLAQItABQABgAIAAAAIQAMgnQzKAIAACkEAAAOAAAAAAAAAAAAAAAAAC4CAABkcnMvZTJv&#10;RG9jLnhtbFBLAQItABQABgAIAAAAIQAjgRpl3gAAAAkBAAAPAAAAAAAAAAAAAAAAAIIEAABkcnMv&#10;ZG93bnJldi54bWxQSwUGAAAAAAQABADzAAAAjQUAAAAA&#10;" stroked="f">
              <v:textbox>
                <w:txbxContent>
                  <w:p w14:paraId="50872779" w14:textId="742FB50F" w:rsidR="0055406C" w:rsidRPr="00FB73A9" w:rsidRDefault="0055406C" w:rsidP="00FB73A9">
                    <w:pPr>
                      <w:rPr>
                        <w:sz w:val="16"/>
                        <w:szCs w:val="16"/>
                      </w:rPr>
                    </w:pPr>
                    <w:r w:rsidRPr="00FB73A9">
                      <w:rPr>
                        <w:sz w:val="16"/>
                        <w:szCs w:val="16"/>
                      </w:rPr>
                      <w:t xml:space="preserve">Título en el idioma </w:t>
                    </w:r>
                    <w:r>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9B1FD4" w:rsidRPr="009B1FD4">
          <w:rPr>
            <w:rFonts w:cs="Times New Roman"/>
            <w:b/>
            <w:noProof/>
            <w:sz w:val="16"/>
            <w:szCs w:val="16"/>
            <w:lang w:val="es-ES"/>
          </w:rPr>
          <w:t>7</w:t>
        </w:r>
        <w:r w:rsidRPr="00426533">
          <w:rPr>
            <w:rFonts w:cs="Times New Roman"/>
            <w:b/>
            <w:sz w:val="16"/>
            <w:szCs w:val="16"/>
          </w:rPr>
          <w:fldChar w:fldCharType="end"/>
        </w:r>
      </w:sdtContent>
    </w:sdt>
  </w:p>
  <w:p w14:paraId="0D93E715" w14:textId="77777777" w:rsidR="0055406C" w:rsidRDefault="0055406C" w:rsidP="00463356">
    <w:pPr>
      <w:pStyle w:val="Cabealho"/>
      <w:tabs>
        <w:tab w:val="clear" w:pos="8838"/>
      </w:tabs>
      <w:jc w:val="right"/>
      <w:rPr>
        <w:rFonts w:ascii="Square721 Cn BT" w:hAnsi="Square721 Cn BT"/>
      </w:rPr>
    </w:pPr>
  </w:p>
  <w:p w14:paraId="6250F50B" w14:textId="77777777" w:rsidR="0055406C" w:rsidRPr="00463356" w:rsidRDefault="0055406C" w:rsidP="00463356">
    <w:pPr>
      <w:pStyle w:val="Cabealho"/>
      <w:tabs>
        <w:tab w:val="clear" w:pos="8838"/>
      </w:tabs>
      <w:jc w:val="right"/>
      <w:rPr>
        <w:rFonts w:ascii="Square721 Cn BT" w:hAnsi="Square721 Cn B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3F40" w14:textId="1AEEB326" w:rsidR="0055406C" w:rsidRPr="00F61111" w:rsidRDefault="0055406C" w:rsidP="00D519CE">
    <w:pPr>
      <w:pStyle w:val="Cabealho"/>
      <w:tabs>
        <w:tab w:val="left" w:pos="460"/>
      </w:tabs>
      <w:rPr>
        <w:rFonts w:cs="Times New Roman"/>
        <w:color w:val="003B68"/>
      </w:rPr>
    </w:pPr>
    <w:r w:rsidRPr="00F61111">
      <w:rPr>
        <w:noProof/>
        <w:color w:val="003B68"/>
        <w:lang w:val="pt-BR" w:eastAsia="pt-BR"/>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55406C" w:rsidRPr="00E330C5" w:rsidRDefault="0055406C" w:rsidP="00D519CE">
    <w:pPr>
      <w:pStyle w:val="Cabealho"/>
      <w:tabs>
        <w:tab w:val="left" w:pos="460"/>
      </w:tabs>
      <w:rPr>
        <w:rFonts w:cs="Times New Roman"/>
        <w:color w:val="003B68"/>
        <w:lang w:val="pt-BR"/>
      </w:rPr>
    </w:pPr>
    <w:r w:rsidRPr="00E330C5">
      <w:rPr>
        <w:rFonts w:cs="Times New Roman"/>
        <w:color w:val="003B68"/>
        <w:lang w:val="pt-BR"/>
      </w:rPr>
      <w:t>XV Congresso Ibero-americano de Engenharia Mecânica</w:t>
    </w:r>
  </w:p>
  <w:p w14:paraId="2CB69E92" w14:textId="058D5B28" w:rsidR="0055406C" w:rsidRPr="00F61111" w:rsidRDefault="0055406C" w:rsidP="00744D7B">
    <w:pPr>
      <w:pStyle w:val="Cabealho"/>
      <w:rPr>
        <w:color w:val="003B68"/>
      </w:rPr>
    </w:pPr>
    <w:r w:rsidRPr="00F61111">
      <w:rPr>
        <w:rFonts w:cs="Times New Roman"/>
        <w:noProof/>
        <w:color w:val="003B68"/>
        <w:lang w:val="pt-BR" w:eastAsia="pt-BR"/>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08BE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Wn6wEAAB8EAAAOAAAAZHJzL2Uyb0RvYy54bWysU02P0zAQvSPxHyzfadKgdpeo6R66Wi4I&#10;Knbh7jp2YslfGpsm/feMnTS7gDgsIgcrY897M+95vLsbjSZnAUE529D1qqREWO5aZbuGfnt6eHdL&#10;SYjMtkw7Kxp6EYHe7d++2Q2+FpXrnW4FECSxoR58Q/sYfV0UgffCsLByXlg8lA4MixhCV7TABmQ3&#10;uqjKclsMDloPjosQcPd+OqT7zC+l4PGLlEFEohuKvcW8Ql5PaS32O1Z3wHyv+NwG+4cuDFMWiy5U&#10;9ywy8gPUH1RGcXDBybjizhROSsVF1oBq1uVvah575kXWguYEv9gU/h8t/3w+AlFtQ6vNmhLLDF7S&#10;YwSmuj6Sg7MWLXRA0il6NfhQI+RgjzBHwR8hCR8lGCK18t9xDLIVKI6M2enL4rQYI+G4ubnZlvhR&#10;wvHsdlttE3kxsSQ2DyF+FM6Q9NNQrWzygdXs/CnEKfWakra1JQOWrW6QMsXBadU+KK1zAN3poIGc&#10;WZqBcvP+QzVXe5GGtbXFFpLASVL+ixctpgJfhUSbsPVJXB5QsdAyzoWN2aLMhNkJJrGFBTi3lib7&#10;b8A5P0FFHt7XgBdEruxsXMBGWQeTMb9Wj+O1ZTnlXx2YdCcLTq695MvO1uAU5nuaX0wa85dxhj+/&#10;6/1PAAAA//8DAFBLAwQUAAYACAAAACEArMuUF90AAAAGAQAADwAAAGRycy9kb3ducmV2LnhtbEyP&#10;QUvDQBSE74L/YXmCN7uJ1dTEvJQiKBR6sdqDt9fsMwlm34bsto399a4nPQ4zzHxTLifbqyOPvnOC&#10;kM4SUCy1M500CO9vzzcPoHwgMdQ7YYRv9rCsLi9KKow7ySsft6FRsUR8QQhtCEOhta9btuRnbmCJ&#10;3qcbLYUox0abkU6x3Pb6NkkybamTuNDSwE8t11/bg0VYZRnr9XmzzqaXMzFvPtwuvUe8vppWj6AC&#10;T+EvDL/4ER2qyLR3BzFe9QjxSECY5zmo6ObJIgW1R7hL56CrUv/Hr34AAAD//wMAUEsBAi0AFAAG&#10;AAgAAAAhALaDOJL+AAAA4QEAABMAAAAAAAAAAAAAAAAAAAAAAFtDb250ZW50X1R5cGVzXS54bWxQ&#10;SwECLQAUAAYACAAAACEAOP0h/9YAAACUAQAACwAAAAAAAAAAAAAAAAAvAQAAX3JlbHMvLnJlbHNQ&#10;SwECLQAUAAYACAAAACEAthgVp+sBAAAfBAAADgAAAAAAAAAAAAAAAAAuAgAAZHJzL2Uyb0RvYy54&#10;bWxQSwECLQAUAAYACAAAACEArMuUF90AAAAGAQAADwAAAAAAAAAAAAAAAABFBAAAZHJzL2Rvd25y&#10;ZXYueG1sUEsFBgAAAAAEAAQA8wAAAE8FA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0C0A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8325F0F"/>
    <w:multiLevelType w:val="multilevel"/>
    <w:tmpl w:val="781406CE"/>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142" w:firstLine="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6"/>
  </w:num>
  <w:num w:numId="3">
    <w:abstractNumId w:val="9"/>
  </w:num>
  <w:num w:numId="4">
    <w:abstractNumId w:val="2"/>
  </w:num>
  <w:num w:numId="5">
    <w:abstractNumId w:val="0"/>
  </w:num>
  <w:num w:numId="6">
    <w:abstractNumId w:val="13"/>
  </w:num>
  <w:num w:numId="7">
    <w:abstractNumId w:val="10"/>
  </w:num>
  <w:num w:numId="8">
    <w:abstractNumId w:val="11"/>
  </w:num>
  <w:num w:numId="9">
    <w:abstractNumId w:val="15"/>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6CA"/>
    <w:rsid w:val="00020428"/>
    <w:rsid w:val="00022DB1"/>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16C7"/>
    <w:rsid w:val="00071CB9"/>
    <w:rsid w:val="00075C38"/>
    <w:rsid w:val="0008608F"/>
    <w:rsid w:val="000921B2"/>
    <w:rsid w:val="00093E80"/>
    <w:rsid w:val="00095786"/>
    <w:rsid w:val="0009613D"/>
    <w:rsid w:val="000B139B"/>
    <w:rsid w:val="000B2E24"/>
    <w:rsid w:val="000B42FA"/>
    <w:rsid w:val="000C562D"/>
    <w:rsid w:val="000C7F71"/>
    <w:rsid w:val="000D4F8F"/>
    <w:rsid w:val="000D6E58"/>
    <w:rsid w:val="000E10B6"/>
    <w:rsid w:val="000E1B09"/>
    <w:rsid w:val="000E2927"/>
    <w:rsid w:val="000E2953"/>
    <w:rsid w:val="000E39A2"/>
    <w:rsid w:val="000F5EA5"/>
    <w:rsid w:val="00100102"/>
    <w:rsid w:val="00102377"/>
    <w:rsid w:val="00104272"/>
    <w:rsid w:val="00105214"/>
    <w:rsid w:val="001111A1"/>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204D"/>
    <w:rsid w:val="00175F94"/>
    <w:rsid w:val="00181EB5"/>
    <w:rsid w:val="00186E57"/>
    <w:rsid w:val="001A5CC9"/>
    <w:rsid w:val="001A7969"/>
    <w:rsid w:val="001B2E00"/>
    <w:rsid w:val="001B42E5"/>
    <w:rsid w:val="001B523C"/>
    <w:rsid w:val="001C295A"/>
    <w:rsid w:val="001D2923"/>
    <w:rsid w:val="001E6AD2"/>
    <w:rsid w:val="001E7075"/>
    <w:rsid w:val="001E7B17"/>
    <w:rsid w:val="001F549D"/>
    <w:rsid w:val="001F6ABA"/>
    <w:rsid w:val="00202BA3"/>
    <w:rsid w:val="00203934"/>
    <w:rsid w:val="002073D4"/>
    <w:rsid w:val="00211049"/>
    <w:rsid w:val="00211EFE"/>
    <w:rsid w:val="00220E74"/>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46ED"/>
    <w:rsid w:val="00277840"/>
    <w:rsid w:val="00277FE3"/>
    <w:rsid w:val="00282755"/>
    <w:rsid w:val="00283645"/>
    <w:rsid w:val="00284D6A"/>
    <w:rsid w:val="0029245C"/>
    <w:rsid w:val="002928F5"/>
    <w:rsid w:val="00295F42"/>
    <w:rsid w:val="00296E49"/>
    <w:rsid w:val="00296E4B"/>
    <w:rsid w:val="002A2E5E"/>
    <w:rsid w:val="002A52B7"/>
    <w:rsid w:val="002A7A58"/>
    <w:rsid w:val="002B1613"/>
    <w:rsid w:val="002C4AB4"/>
    <w:rsid w:val="002C6241"/>
    <w:rsid w:val="002C7108"/>
    <w:rsid w:val="002D5912"/>
    <w:rsid w:val="002D6396"/>
    <w:rsid w:val="002E2C39"/>
    <w:rsid w:val="002F1494"/>
    <w:rsid w:val="002F2CDF"/>
    <w:rsid w:val="003021D3"/>
    <w:rsid w:val="0030242D"/>
    <w:rsid w:val="0030265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8242A"/>
    <w:rsid w:val="00382BC5"/>
    <w:rsid w:val="00387873"/>
    <w:rsid w:val="00393BC5"/>
    <w:rsid w:val="00397327"/>
    <w:rsid w:val="00397767"/>
    <w:rsid w:val="003A78C5"/>
    <w:rsid w:val="003B027F"/>
    <w:rsid w:val="003B0B02"/>
    <w:rsid w:val="003B0EB7"/>
    <w:rsid w:val="003B3417"/>
    <w:rsid w:val="003B3D5A"/>
    <w:rsid w:val="003B62C4"/>
    <w:rsid w:val="003C0DDA"/>
    <w:rsid w:val="003C133C"/>
    <w:rsid w:val="003C3CD8"/>
    <w:rsid w:val="003C6922"/>
    <w:rsid w:val="003D131B"/>
    <w:rsid w:val="003D578F"/>
    <w:rsid w:val="003D5C6F"/>
    <w:rsid w:val="003E0B5B"/>
    <w:rsid w:val="003E5D1B"/>
    <w:rsid w:val="003E76B0"/>
    <w:rsid w:val="003F09A9"/>
    <w:rsid w:val="003F497A"/>
    <w:rsid w:val="003F73DB"/>
    <w:rsid w:val="004009FF"/>
    <w:rsid w:val="00403D02"/>
    <w:rsid w:val="00405E56"/>
    <w:rsid w:val="00405ED2"/>
    <w:rsid w:val="00410E38"/>
    <w:rsid w:val="0041128A"/>
    <w:rsid w:val="00413BCF"/>
    <w:rsid w:val="00425947"/>
    <w:rsid w:val="00426533"/>
    <w:rsid w:val="00434C8B"/>
    <w:rsid w:val="00435746"/>
    <w:rsid w:val="004376E2"/>
    <w:rsid w:val="00443D1D"/>
    <w:rsid w:val="004450DE"/>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4200"/>
    <w:rsid w:val="004876FC"/>
    <w:rsid w:val="004906A8"/>
    <w:rsid w:val="00491D55"/>
    <w:rsid w:val="00491D97"/>
    <w:rsid w:val="0049256F"/>
    <w:rsid w:val="00492BF5"/>
    <w:rsid w:val="004954EB"/>
    <w:rsid w:val="004A17B4"/>
    <w:rsid w:val="004A4281"/>
    <w:rsid w:val="004A6915"/>
    <w:rsid w:val="004B2672"/>
    <w:rsid w:val="004B6281"/>
    <w:rsid w:val="004C1607"/>
    <w:rsid w:val="004C1FFC"/>
    <w:rsid w:val="004C430A"/>
    <w:rsid w:val="004C5140"/>
    <w:rsid w:val="004C6E42"/>
    <w:rsid w:val="004C7858"/>
    <w:rsid w:val="004D5FAD"/>
    <w:rsid w:val="004D675D"/>
    <w:rsid w:val="004E0209"/>
    <w:rsid w:val="004E098D"/>
    <w:rsid w:val="004E5CEE"/>
    <w:rsid w:val="00502363"/>
    <w:rsid w:val="00507171"/>
    <w:rsid w:val="0051321C"/>
    <w:rsid w:val="0051388C"/>
    <w:rsid w:val="00522006"/>
    <w:rsid w:val="00522D8D"/>
    <w:rsid w:val="00530DB1"/>
    <w:rsid w:val="0053696A"/>
    <w:rsid w:val="0054092E"/>
    <w:rsid w:val="00540B8D"/>
    <w:rsid w:val="00542BBE"/>
    <w:rsid w:val="0055406C"/>
    <w:rsid w:val="00561135"/>
    <w:rsid w:val="00561DFC"/>
    <w:rsid w:val="0056201A"/>
    <w:rsid w:val="005705C8"/>
    <w:rsid w:val="005713F2"/>
    <w:rsid w:val="00576008"/>
    <w:rsid w:val="00587719"/>
    <w:rsid w:val="00593312"/>
    <w:rsid w:val="00594123"/>
    <w:rsid w:val="005A1113"/>
    <w:rsid w:val="005A3898"/>
    <w:rsid w:val="005B07DC"/>
    <w:rsid w:val="005B1A8B"/>
    <w:rsid w:val="005B312E"/>
    <w:rsid w:val="005C27D1"/>
    <w:rsid w:val="005C44F0"/>
    <w:rsid w:val="005D0DF1"/>
    <w:rsid w:val="005D4349"/>
    <w:rsid w:val="005D4E3D"/>
    <w:rsid w:val="005E2490"/>
    <w:rsid w:val="005F1C0B"/>
    <w:rsid w:val="005F423B"/>
    <w:rsid w:val="005F61AA"/>
    <w:rsid w:val="005F6F7D"/>
    <w:rsid w:val="00603D04"/>
    <w:rsid w:val="00606895"/>
    <w:rsid w:val="006123B7"/>
    <w:rsid w:val="0061386D"/>
    <w:rsid w:val="00617C58"/>
    <w:rsid w:val="006206D6"/>
    <w:rsid w:val="00622D9D"/>
    <w:rsid w:val="00626358"/>
    <w:rsid w:val="0063103B"/>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2847"/>
    <w:rsid w:val="006A5AE4"/>
    <w:rsid w:val="006A5CB1"/>
    <w:rsid w:val="006A72CF"/>
    <w:rsid w:val="006B0B60"/>
    <w:rsid w:val="006B1718"/>
    <w:rsid w:val="006B235A"/>
    <w:rsid w:val="006B38EB"/>
    <w:rsid w:val="006B3AB3"/>
    <w:rsid w:val="006B5C1A"/>
    <w:rsid w:val="006B7489"/>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2689"/>
    <w:rsid w:val="00715823"/>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E1603"/>
    <w:rsid w:val="007E5264"/>
    <w:rsid w:val="007E529F"/>
    <w:rsid w:val="007F0976"/>
    <w:rsid w:val="007F45D8"/>
    <w:rsid w:val="007F784C"/>
    <w:rsid w:val="00803946"/>
    <w:rsid w:val="00804988"/>
    <w:rsid w:val="00806FF8"/>
    <w:rsid w:val="0082639C"/>
    <w:rsid w:val="00826632"/>
    <w:rsid w:val="0083008D"/>
    <w:rsid w:val="00830C3B"/>
    <w:rsid w:val="00830CD8"/>
    <w:rsid w:val="0083175D"/>
    <w:rsid w:val="00832A11"/>
    <w:rsid w:val="008340AC"/>
    <w:rsid w:val="00834A97"/>
    <w:rsid w:val="0084275A"/>
    <w:rsid w:val="00845B18"/>
    <w:rsid w:val="00845BFA"/>
    <w:rsid w:val="0084680B"/>
    <w:rsid w:val="008555D3"/>
    <w:rsid w:val="00856581"/>
    <w:rsid w:val="008709CA"/>
    <w:rsid w:val="008757FA"/>
    <w:rsid w:val="008939D8"/>
    <w:rsid w:val="008A1B31"/>
    <w:rsid w:val="008A2B5B"/>
    <w:rsid w:val="008A36BB"/>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1124"/>
    <w:rsid w:val="00946DBB"/>
    <w:rsid w:val="00947157"/>
    <w:rsid w:val="00952055"/>
    <w:rsid w:val="00957597"/>
    <w:rsid w:val="00960B8F"/>
    <w:rsid w:val="00961A87"/>
    <w:rsid w:val="00963049"/>
    <w:rsid w:val="009636E9"/>
    <w:rsid w:val="00965DF1"/>
    <w:rsid w:val="0098656B"/>
    <w:rsid w:val="00987F60"/>
    <w:rsid w:val="00994F51"/>
    <w:rsid w:val="00996E64"/>
    <w:rsid w:val="009A4781"/>
    <w:rsid w:val="009A4D29"/>
    <w:rsid w:val="009B000C"/>
    <w:rsid w:val="009B1FD4"/>
    <w:rsid w:val="009B4D5F"/>
    <w:rsid w:val="009B592E"/>
    <w:rsid w:val="009B754F"/>
    <w:rsid w:val="009C126F"/>
    <w:rsid w:val="009C2728"/>
    <w:rsid w:val="009C2B2D"/>
    <w:rsid w:val="009C3CAC"/>
    <w:rsid w:val="009E00E4"/>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74404"/>
    <w:rsid w:val="00A751E1"/>
    <w:rsid w:val="00A84CB6"/>
    <w:rsid w:val="00A85C55"/>
    <w:rsid w:val="00A86F8C"/>
    <w:rsid w:val="00A87F73"/>
    <w:rsid w:val="00AA4150"/>
    <w:rsid w:val="00AA5FE4"/>
    <w:rsid w:val="00AB530C"/>
    <w:rsid w:val="00AD16A4"/>
    <w:rsid w:val="00AD6B5F"/>
    <w:rsid w:val="00AD7832"/>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201AE"/>
    <w:rsid w:val="00B22F9D"/>
    <w:rsid w:val="00B24914"/>
    <w:rsid w:val="00B31CDB"/>
    <w:rsid w:val="00B330C2"/>
    <w:rsid w:val="00B42F8C"/>
    <w:rsid w:val="00B45384"/>
    <w:rsid w:val="00B47C55"/>
    <w:rsid w:val="00B51DF3"/>
    <w:rsid w:val="00B57717"/>
    <w:rsid w:val="00B57B67"/>
    <w:rsid w:val="00B57E96"/>
    <w:rsid w:val="00B71ADF"/>
    <w:rsid w:val="00B73276"/>
    <w:rsid w:val="00B76456"/>
    <w:rsid w:val="00B80822"/>
    <w:rsid w:val="00B90EB6"/>
    <w:rsid w:val="00B914D9"/>
    <w:rsid w:val="00B9202C"/>
    <w:rsid w:val="00B9564F"/>
    <w:rsid w:val="00B96A00"/>
    <w:rsid w:val="00B97AC9"/>
    <w:rsid w:val="00BB131D"/>
    <w:rsid w:val="00BB31FD"/>
    <w:rsid w:val="00BB7E0E"/>
    <w:rsid w:val="00BC2186"/>
    <w:rsid w:val="00BC4B7E"/>
    <w:rsid w:val="00BC5570"/>
    <w:rsid w:val="00BC6198"/>
    <w:rsid w:val="00BD1561"/>
    <w:rsid w:val="00BD4371"/>
    <w:rsid w:val="00BE5636"/>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263F7"/>
    <w:rsid w:val="00C421F0"/>
    <w:rsid w:val="00C42436"/>
    <w:rsid w:val="00C42D36"/>
    <w:rsid w:val="00C4631F"/>
    <w:rsid w:val="00C5141A"/>
    <w:rsid w:val="00C55E9F"/>
    <w:rsid w:val="00C602C0"/>
    <w:rsid w:val="00C67077"/>
    <w:rsid w:val="00C74B3E"/>
    <w:rsid w:val="00C75055"/>
    <w:rsid w:val="00C750C9"/>
    <w:rsid w:val="00C8136E"/>
    <w:rsid w:val="00C8756A"/>
    <w:rsid w:val="00C87975"/>
    <w:rsid w:val="00C90597"/>
    <w:rsid w:val="00C97579"/>
    <w:rsid w:val="00CB3E7F"/>
    <w:rsid w:val="00CB6DD6"/>
    <w:rsid w:val="00CB7B6E"/>
    <w:rsid w:val="00CC292B"/>
    <w:rsid w:val="00CC63F4"/>
    <w:rsid w:val="00CD3010"/>
    <w:rsid w:val="00CD31D4"/>
    <w:rsid w:val="00CD4C1A"/>
    <w:rsid w:val="00CE3094"/>
    <w:rsid w:val="00CE68EC"/>
    <w:rsid w:val="00CF0E5B"/>
    <w:rsid w:val="00CF248E"/>
    <w:rsid w:val="00D01BF9"/>
    <w:rsid w:val="00D01CD2"/>
    <w:rsid w:val="00D02495"/>
    <w:rsid w:val="00D026B9"/>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550E"/>
    <w:rsid w:val="00D658B1"/>
    <w:rsid w:val="00D66063"/>
    <w:rsid w:val="00D6608E"/>
    <w:rsid w:val="00D6669B"/>
    <w:rsid w:val="00D67BEE"/>
    <w:rsid w:val="00D72BDA"/>
    <w:rsid w:val="00D73A78"/>
    <w:rsid w:val="00D831CA"/>
    <w:rsid w:val="00D84162"/>
    <w:rsid w:val="00D931EE"/>
    <w:rsid w:val="00D95A26"/>
    <w:rsid w:val="00DA008E"/>
    <w:rsid w:val="00DA0BCD"/>
    <w:rsid w:val="00DA1C32"/>
    <w:rsid w:val="00DA60D6"/>
    <w:rsid w:val="00DA6B01"/>
    <w:rsid w:val="00DA6B2F"/>
    <w:rsid w:val="00DC1CF5"/>
    <w:rsid w:val="00DD224F"/>
    <w:rsid w:val="00DD4D54"/>
    <w:rsid w:val="00DE0A3D"/>
    <w:rsid w:val="00DE4155"/>
    <w:rsid w:val="00DE5A68"/>
    <w:rsid w:val="00DE777B"/>
    <w:rsid w:val="00DF590B"/>
    <w:rsid w:val="00E00CDD"/>
    <w:rsid w:val="00E05D18"/>
    <w:rsid w:val="00E069D7"/>
    <w:rsid w:val="00E072A9"/>
    <w:rsid w:val="00E10295"/>
    <w:rsid w:val="00E17485"/>
    <w:rsid w:val="00E20CDC"/>
    <w:rsid w:val="00E21DD8"/>
    <w:rsid w:val="00E22F10"/>
    <w:rsid w:val="00E25ECB"/>
    <w:rsid w:val="00E261C1"/>
    <w:rsid w:val="00E3149C"/>
    <w:rsid w:val="00E31502"/>
    <w:rsid w:val="00E330C5"/>
    <w:rsid w:val="00E34FCE"/>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17D9"/>
    <w:rsid w:val="00E8494F"/>
    <w:rsid w:val="00E84D2D"/>
    <w:rsid w:val="00E8728E"/>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3827"/>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46DD"/>
    <w:rsid w:val="00F56631"/>
    <w:rsid w:val="00F61111"/>
    <w:rsid w:val="00F616DE"/>
    <w:rsid w:val="00F652C8"/>
    <w:rsid w:val="00F71481"/>
    <w:rsid w:val="00F850E2"/>
    <w:rsid w:val="00F9169B"/>
    <w:rsid w:val="00F92E25"/>
    <w:rsid w:val="00F93467"/>
    <w:rsid w:val="00F963F6"/>
    <w:rsid w:val="00FA1C85"/>
    <w:rsid w:val="00FA21FB"/>
    <w:rsid w:val="00FB1C06"/>
    <w:rsid w:val="00FB1C4A"/>
    <w:rsid w:val="00FB4A7B"/>
    <w:rsid w:val="00FB73A9"/>
    <w:rsid w:val="00FC4259"/>
    <w:rsid w:val="00FC7F89"/>
    <w:rsid w:val="00FD1E45"/>
    <w:rsid w:val="00FD225E"/>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0CF43FC-FFA7-4D1E-8598-4F40798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6E"/>
    <w:pPr>
      <w:spacing w:after="0" w:line="240" w:lineRule="auto"/>
      <w:jc w:val="both"/>
    </w:pPr>
  </w:style>
  <w:style w:type="paragraph" w:styleId="Ttulo1">
    <w:name w:val="heading 1"/>
    <w:basedOn w:val="PargrafodaLista"/>
    <w:next w:val="Normal"/>
    <w:link w:val="Ttulo1Ch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har"/>
    <w:uiPriority w:val="9"/>
    <w:unhideWhenUsed/>
    <w:qFormat/>
    <w:rsid w:val="009C2728"/>
    <w:pPr>
      <w:numPr>
        <w:ilvl w:val="1"/>
      </w:numPr>
      <w:outlineLvl w:val="1"/>
    </w:pPr>
  </w:style>
  <w:style w:type="paragraph" w:styleId="Ttulo3">
    <w:name w:val="heading 3"/>
    <w:basedOn w:val="Ttulo2"/>
    <w:next w:val="Normal"/>
    <w:link w:val="Ttulo3Char"/>
    <w:uiPriority w:val="9"/>
    <w:unhideWhenUsed/>
    <w:qFormat/>
    <w:rsid w:val="00960B8F"/>
    <w:pPr>
      <w:numPr>
        <w:ilvl w:val="2"/>
      </w:numPr>
      <w:outlineLvl w:val="2"/>
    </w:pPr>
  </w:style>
  <w:style w:type="paragraph" w:styleId="Ttulo5">
    <w:name w:val="heading 5"/>
    <w:basedOn w:val="Normal"/>
    <w:next w:val="Normal"/>
    <w:link w:val="Ttulo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Cabealho">
    <w:name w:val="header"/>
    <w:basedOn w:val="Normal"/>
    <w:link w:val="CabealhoChar"/>
    <w:unhideWhenUsed/>
    <w:rsid w:val="00E72566"/>
    <w:pPr>
      <w:tabs>
        <w:tab w:val="center" w:pos="4419"/>
        <w:tab w:val="right" w:pos="8838"/>
      </w:tabs>
    </w:pPr>
  </w:style>
  <w:style w:type="character" w:customStyle="1" w:styleId="CabealhoChar">
    <w:name w:val="Cabeçalho Char"/>
    <w:basedOn w:val="Fontepargpadro"/>
    <w:link w:val="Cabealho"/>
    <w:rsid w:val="00E72566"/>
  </w:style>
  <w:style w:type="paragraph" w:styleId="PargrafodaLista">
    <w:name w:val="List Paragraph"/>
    <w:basedOn w:val="Normal"/>
    <w:uiPriority w:val="34"/>
    <w:qFormat/>
    <w:rsid w:val="00E72566"/>
    <w:pPr>
      <w:ind w:left="720"/>
      <w:contextualSpacing/>
    </w:pPr>
  </w:style>
  <w:style w:type="table" w:styleId="Tabelacomgrade">
    <w:name w:val="Table Grid"/>
    <w:basedOn w:val="Tabelanormal"/>
    <w:uiPriority w:val="39"/>
    <w:rsid w:val="00E7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72566"/>
    <w:rPr>
      <w:color w:val="0563C1" w:themeColor="hyperlink"/>
      <w:u w:val="single"/>
    </w:rPr>
  </w:style>
  <w:style w:type="character" w:customStyle="1" w:styleId="apple-style-span">
    <w:name w:val="apple-style-span"/>
    <w:basedOn w:val="Fontepargpadro"/>
    <w:rsid w:val="003C6922"/>
  </w:style>
  <w:style w:type="character" w:styleId="Refdenotaderodap">
    <w:name w:val="footnote reference"/>
    <w:basedOn w:val="Fontepargpadro"/>
    <w:uiPriority w:val="99"/>
    <w:unhideWhenUsed/>
    <w:rsid w:val="003C6922"/>
    <w:rPr>
      <w:vertAlign w:val="superscript"/>
    </w:rPr>
  </w:style>
  <w:style w:type="paragraph" w:styleId="SemEspaamento">
    <w:name w:val="No Spacing"/>
    <w:aliases w:val="Referencias,AutorP"/>
    <w:link w:val="SemEspaamentoChar"/>
    <w:uiPriority w:val="1"/>
    <w:rsid w:val="003C6922"/>
    <w:pPr>
      <w:spacing w:after="0" w:line="240" w:lineRule="auto"/>
    </w:pPr>
    <w:rPr>
      <w:rFonts w:ascii="Arial" w:hAnsi="Arial"/>
      <w:lang w:val="es-ES"/>
    </w:rPr>
  </w:style>
  <w:style w:type="paragraph" w:styleId="Textodenotaderodap">
    <w:name w:val="footnote text"/>
    <w:basedOn w:val="Normal"/>
    <w:link w:val="TextodenotaderodapChar"/>
    <w:uiPriority w:val="99"/>
    <w:unhideWhenUsed/>
    <w:rsid w:val="003C6922"/>
  </w:style>
  <w:style w:type="character" w:customStyle="1" w:styleId="TextodenotaderodapChar">
    <w:name w:val="Texto de nota de rodapé Char"/>
    <w:basedOn w:val="Fontepargpadro"/>
    <w:link w:val="Textodenotaderodap"/>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ontepargpadro"/>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balo">
    <w:name w:val="Balloon Text"/>
    <w:basedOn w:val="Normal"/>
    <w:link w:val="TextodebaloChar"/>
    <w:uiPriority w:val="99"/>
    <w:semiHidden/>
    <w:unhideWhenUsed/>
    <w:rsid w:val="00240A3D"/>
    <w:rPr>
      <w:rFonts w:ascii="Tahoma" w:hAnsi="Tahoma" w:cs="Tahoma"/>
      <w:sz w:val="16"/>
      <w:szCs w:val="16"/>
    </w:rPr>
  </w:style>
  <w:style w:type="character" w:customStyle="1" w:styleId="TextodebaloChar">
    <w:name w:val="Texto de balão Char"/>
    <w:basedOn w:val="Fontepargpadro"/>
    <w:link w:val="Textodebalo"/>
    <w:uiPriority w:val="99"/>
    <w:semiHidden/>
    <w:rsid w:val="00240A3D"/>
    <w:rPr>
      <w:rFonts w:ascii="Tahoma" w:hAnsi="Tahoma" w:cs="Tahoma"/>
      <w:sz w:val="16"/>
      <w:szCs w:val="16"/>
    </w:rPr>
  </w:style>
  <w:style w:type="character" w:customStyle="1" w:styleId="Ttulo1Char">
    <w:name w:val="Título 1 Char"/>
    <w:basedOn w:val="Fontepargpadro"/>
    <w:link w:val="Ttulo1"/>
    <w:uiPriority w:val="9"/>
    <w:rsid w:val="009C2728"/>
    <w:rPr>
      <w:rFonts w:cs="Times New Roman"/>
      <w:b/>
      <w:color w:val="000000"/>
    </w:rPr>
  </w:style>
  <w:style w:type="paragraph" w:styleId="Bibliografia">
    <w:name w:val="Bibliography"/>
    <w:basedOn w:val="Normal"/>
    <w:next w:val="Normal"/>
    <w:uiPriority w:val="37"/>
    <w:unhideWhenUsed/>
    <w:rsid w:val="005F1C0B"/>
  </w:style>
  <w:style w:type="table" w:customStyle="1" w:styleId="Tablanormal21">
    <w:name w:val="Tabla normal 21"/>
    <w:basedOn w:val="Tabelanormal"/>
    <w:uiPriority w:val="42"/>
    <w:rsid w:val="00DD4D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ontepargpadro"/>
    <w:rsid w:val="004C6E42"/>
  </w:style>
  <w:style w:type="paragraph" w:styleId="Rodap">
    <w:name w:val="footer"/>
    <w:basedOn w:val="Normal"/>
    <w:link w:val="RodapChar"/>
    <w:uiPriority w:val="99"/>
    <w:unhideWhenUsed/>
    <w:rsid w:val="004009FF"/>
    <w:pPr>
      <w:tabs>
        <w:tab w:val="center" w:pos="4419"/>
        <w:tab w:val="right" w:pos="8838"/>
      </w:tabs>
    </w:pPr>
  </w:style>
  <w:style w:type="character" w:customStyle="1" w:styleId="RodapChar">
    <w:name w:val="Rodapé Char"/>
    <w:basedOn w:val="Fontepargpadro"/>
    <w:link w:val="Rodap"/>
    <w:uiPriority w:val="99"/>
    <w:rsid w:val="004009FF"/>
  </w:style>
  <w:style w:type="paragraph" w:styleId="Reviso">
    <w:name w:val="Revision"/>
    <w:hidden/>
    <w:uiPriority w:val="99"/>
    <w:semiHidden/>
    <w:rsid w:val="003E0B5B"/>
    <w:pPr>
      <w:spacing w:after="0" w:line="240" w:lineRule="auto"/>
    </w:pPr>
  </w:style>
  <w:style w:type="character" w:styleId="Refdecomentrio">
    <w:name w:val="annotation reference"/>
    <w:basedOn w:val="Fontepargpadro"/>
    <w:uiPriority w:val="99"/>
    <w:semiHidden/>
    <w:unhideWhenUsed/>
    <w:rsid w:val="003E0B5B"/>
    <w:rPr>
      <w:sz w:val="16"/>
      <w:szCs w:val="16"/>
    </w:rPr>
  </w:style>
  <w:style w:type="paragraph" w:styleId="Textodecomentrio">
    <w:name w:val="annotation text"/>
    <w:basedOn w:val="Normal"/>
    <w:link w:val="TextodecomentrioChar"/>
    <w:uiPriority w:val="99"/>
    <w:unhideWhenUsed/>
    <w:rsid w:val="003E0B5B"/>
  </w:style>
  <w:style w:type="character" w:customStyle="1" w:styleId="TextodecomentrioChar">
    <w:name w:val="Texto de comentário Char"/>
    <w:basedOn w:val="Fontepargpadro"/>
    <w:link w:val="Textodecomentrio"/>
    <w:uiPriority w:val="99"/>
    <w:rsid w:val="003E0B5B"/>
    <w:rPr>
      <w:sz w:val="20"/>
      <w:szCs w:val="20"/>
    </w:rPr>
  </w:style>
  <w:style w:type="paragraph" w:styleId="Assuntodocomentrio">
    <w:name w:val="annotation subject"/>
    <w:basedOn w:val="Textodecomentrio"/>
    <w:next w:val="Textodecomentrio"/>
    <w:link w:val="AssuntodocomentrioChar"/>
    <w:uiPriority w:val="99"/>
    <w:semiHidden/>
    <w:unhideWhenUsed/>
    <w:rsid w:val="003E0B5B"/>
    <w:rPr>
      <w:b/>
      <w:bCs/>
    </w:rPr>
  </w:style>
  <w:style w:type="character" w:customStyle="1" w:styleId="AssuntodocomentrioChar">
    <w:name w:val="Assunto do comentário Char"/>
    <w:basedOn w:val="TextodecomentrioChar"/>
    <w:link w:val="Assuntodocomentrio"/>
    <w:uiPriority w:val="99"/>
    <w:semiHidden/>
    <w:rsid w:val="003E0B5B"/>
    <w:rPr>
      <w:b/>
      <w:bCs/>
      <w:sz w:val="20"/>
      <w:szCs w:val="20"/>
    </w:rPr>
  </w:style>
  <w:style w:type="character" w:customStyle="1" w:styleId="Ttulo5Char">
    <w:name w:val="Título 5 Char"/>
    <w:basedOn w:val="Fontepargpadro"/>
    <w:link w:val="Ttulo5"/>
    <w:uiPriority w:val="9"/>
    <w:semiHidden/>
    <w:rsid w:val="003B3D5A"/>
    <w:rPr>
      <w:rFonts w:asciiTheme="majorHAnsi" w:eastAsiaTheme="majorEastAsia" w:hAnsiTheme="majorHAnsi" w:cstheme="majorBidi"/>
      <w:color w:val="2E74B5" w:themeColor="accent1" w:themeShade="BF"/>
    </w:rPr>
  </w:style>
  <w:style w:type="character" w:styleId="MquinadeescreverHTML">
    <w:name w:val="HTML Typewriter"/>
    <w:basedOn w:val="Fontepargpadro"/>
    <w:uiPriority w:val="99"/>
    <w:semiHidden/>
    <w:unhideWhenUsed/>
    <w:rsid w:val="00C67077"/>
    <w:rPr>
      <w:rFonts w:ascii="Courier New" w:eastAsia="Times New Roman" w:hAnsi="Courier New" w:cs="Courier New"/>
      <w:sz w:val="20"/>
      <w:szCs w:val="20"/>
    </w:rPr>
  </w:style>
  <w:style w:type="character" w:customStyle="1" w:styleId="hps">
    <w:name w:val="hps"/>
    <w:basedOn w:val="Fontepargpadro"/>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Legenda">
    <w:name w:val="caption"/>
    <w:aliases w:val="Fig Título"/>
    <w:basedOn w:val="Normal"/>
    <w:next w:val="Normal"/>
    <w:link w:val="LegendaChar"/>
    <w:uiPriority w:val="35"/>
    <w:unhideWhenUsed/>
    <w:qFormat/>
    <w:rsid w:val="009C2728"/>
    <w:pPr>
      <w:spacing w:before="200"/>
    </w:pPr>
    <w:rPr>
      <w:rFonts w:eastAsiaTheme="minorEastAsia"/>
      <w:iCs/>
      <w:szCs w:val="18"/>
      <w:lang w:eastAsia="es-CO"/>
    </w:rPr>
  </w:style>
  <w:style w:type="character" w:customStyle="1" w:styleId="Ttulo3Char">
    <w:name w:val="Título 3 Char"/>
    <w:basedOn w:val="Fontepargpadro"/>
    <w:link w:val="Ttulo3"/>
    <w:uiPriority w:val="9"/>
    <w:rsid w:val="00960B8F"/>
    <w:rPr>
      <w:rFonts w:cs="Times New Roman"/>
      <w:b/>
      <w:color w:val="000000"/>
    </w:rPr>
  </w:style>
  <w:style w:type="table" w:customStyle="1" w:styleId="Tablaconcuadrcula1">
    <w:name w:val="Tabla con cuadrícula1"/>
    <w:basedOn w:val="Tabelanormal"/>
    <w:next w:val="Tabelacomgrade"/>
    <w:uiPriority w:val="39"/>
    <w:rsid w:val="00CC292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elanormal"/>
    <w:next w:val="Tabelacomgrade"/>
    <w:uiPriority w:val="39"/>
    <w:rsid w:val="00CC292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elanormal"/>
    <w:next w:val="Tabelacomgrade"/>
    <w:uiPriority w:val="39"/>
    <w:rsid w:val="00F33C0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emEspaamentoChar">
    <w:name w:val="Sem Espaçamento Char"/>
    <w:aliases w:val="Referencias Char,AutorP Char"/>
    <w:link w:val="SemEspaament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emEspaamento"/>
    <w:link w:val="FiguraChar"/>
    <w:qFormat/>
    <w:rsid w:val="00FC4259"/>
    <w:pPr>
      <w:keepNext/>
      <w:jc w:val="center"/>
    </w:pPr>
  </w:style>
  <w:style w:type="paragraph" w:customStyle="1" w:styleId="TablaTtulo">
    <w:name w:val="Tabla Título"/>
    <w:basedOn w:val="Legenda"/>
    <w:link w:val="TablaTtuloChar"/>
    <w:qFormat/>
    <w:rsid w:val="00D72BDA"/>
    <w:pPr>
      <w:keepNext/>
    </w:pPr>
  </w:style>
  <w:style w:type="character" w:customStyle="1" w:styleId="FiguraChar">
    <w:name w:val="Figura Char"/>
    <w:basedOn w:val="SemEspaamentoChar"/>
    <w:link w:val="Figura"/>
    <w:rsid w:val="00FC4259"/>
    <w:rPr>
      <w:rFonts w:ascii="Arial" w:hAnsi="Arial"/>
      <w:sz w:val="20"/>
      <w:lang w:val="es-ES"/>
    </w:rPr>
  </w:style>
  <w:style w:type="paragraph" w:customStyle="1" w:styleId="Ecuacin">
    <w:name w:val="Ecuación"/>
    <w:basedOn w:val="SemEspaamento"/>
    <w:link w:val="EcuacinChar"/>
    <w:rsid w:val="00803946"/>
    <w:pPr>
      <w:tabs>
        <w:tab w:val="left" w:pos="4111"/>
      </w:tabs>
      <w:jc w:val="center"/>
    </w:pPr>
    <w:rPr>
      <w:rFonts w:ascii="Cambria Math" w:hAnsi="Cambria Math"/>
      <w:i/>
    </w:rPr>
  </w:style>
  <w:style w:type="character" w:customStyle="1" w:styleId="LegendaChar">
    <w:name w:val="Legenda Char"/>
    <w:aliases w:val="Fig Título Char"/>
    <w:basedOn w:val="Fontepargpadro"/>
    <w:link w:val="Legenda"/>
    <w:uiPriority w:val="35"/>
    <w:rsid w:val="009C2728"/>
    <w:rPr>
      <w:rFonts w:eastAsiaTheme="minorEastAsia"/>
      <w:iCs/>
      <w:szCs w:val="18"/>
      <w:lang w:eastAsia="es-CO"/>
    </w:rPr>
  </w:style>
  <w:style w:type="character" w:customStyle="1" w:styleId="TablaTtuloChar">
    <w:name w:val="Tabla Título Char"/>
    <w:basedOn w:val="Legenda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emEspaamento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Text">
    <w:name w:val="Text"/>
    <w:basedOn w:val="Normal"/>
    <w:rsid w:val="00A86F8C"/>
    <w:pPr>
      <w:widowControl w:val="0"/>
      <w:spacing w:line="252" w:lineRule="auto"/>
      <w:ind w:firstLine="240"/>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190425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29955313">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1443527">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348760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uz@unesp.br" TargetMode="External"/><Relationship Id="rId13" Type="http://schemas.openxmlformats.org/officeDocument/2006/relationships/image" Target="media/image20.JP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eader" Target="header2.xml"/><Relationship Id="rId19"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0A4A1CE4-EC48-4F45-9E0D-53CB180C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8742</Words>
  <Characters>47207</Characters>
  <Application>Microsoft Office Word</Application>
  <DocSecurity>0</DocSecurity>
  <Lines>393</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BARRA MINGORANCE</dc:creator>
  <cp:lastModifiedBy>Cliente</cp:lastModifiedBy>
  <cp:revision>2</cp:revision>
  <cp:lastPrinted>2022-09-02T18:52:00Z</cp:lastPrinted>
  <dcterms:created xsi:type="dcterms:W3CDTF">2022-10-28T18:00:00Z</dcterms:created>
  <dcterms:modified xsi:type="dcterms:W3CDTF">2022-10-28T18:00:00Z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