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F3372" w14:textId="77777777" w:rsidR="00FE1A8E" w:rsidRDefault="00FE1A8E">
      <w:pPr>
        <w:pStyle w:val="Default"/>
        <w:tabs>
          <w:tab w:val="left" w:pos="2268"/>
        </w:tabs>
        <w:jc w:val="center"/>
        <w:rPr>
          <w:b/>
          <w:bCs/>
          <w:sz w:val="32"/>
          <w:szCs w:val="28"/>
        </w:rPr>
      </w:pPr>
    </w:p>
    <w:p w14:paraId="6F358636" w14:textId="77777777" w:rsidR="00FE1A8E" w:rsidRDefault="00084A57">
      <w:pPr>
        <w:pStyle w:val="Default"/>
        <w:tabs>
          <w:tab w:val="left" w:pos="2268"/>
        </w:tabs>
        <w:jc w:val="center"/>
        <w:rPr>
          <w:b/>
          <w:sz w:val="32"/>
          <w:szCs w:val="28"/>
        </w:rPr>
      </w:pPr>
      <w:r>
        <w:rPr>
          <w:b/>
          <w:bCs/>
          <w:sz w:val="32"/>
          <w:szCs w:val="28"/>
        </w:rPr>
        <w:t xml:space="preserve">Efecto del tamaño de grano en el comportamiento mecánico de un nano cristal de Aluminio </w:t>
      </w:r>
    </w:p>
    <w:p w14:paraId="736AB1BC" w14:textId="77777777" w:rsidR="00FE1A8E" w:rsidRDefault="00FE1A8E">
      <w:pPr>
        <w:pStyle w:val="Default"/>
        <w:tabs>
          <w:tab w:val="left" w:pos="5223"/>
        </w:tabs>
        <w:rPr>
          <w:sz w:val="20"/>
          <w:szCs w:val="20"/>
        </w:rPr>
      </w:pPr>
    </w:p>
    <w:p w14:paraId="5F317DB2" w14:textId="77777777" w:rsidR="00FE1A8E" w:rsidRDefault="00FE1A8E">
      <w:pPr>
        <w:pStyle w:val="Default"/>
        <w:tabs>
          <w:tab w:val="left" w:pos="5223"/>
        </w:tabs>
        <w:rPr>
          <w:sz w:val="20"/>
          <w:szCs w:val="20"/>
        </w:rPr>
      </w:pPr>
    </w:p>
    <w:p w14:paraId="08AFEE02" w14:textId="77777777" w:rsidR="00FE1A8E" w:rsidRDefault="00084A57">
      <w:pPr>
        <w:pStyle w:val="Default"/>
        <w:jc w:val="center"/>
        <w:rPr>
          <w:b/>
          <w:bCs/>
          <w:smallCaps/>
          <w:sz w:val="20"/>
          <w:szCs w:val="20"/>
          <w:vertAlign w:val="superscript"/>
        </w:rPr>
      </w:pPr>
      <w:r>
        <w:rPr>
          <w:b/>
          <w:bCs/>
          <w:sz w:val="20"/>
          <w:szCs w:val="20"/>
        </w:rPr>
        <w:t>Miguel Pacheco-Agámez</w:t>
      </w:r>
      <w:r>
        <w:rPr>
          <w:b/>
          <w:bCs/>
          <w:smallCaps/>
          <w:sz w:val="20"/>
          <w:szCs w:val="20"/>
          <w:vertAlign w:val="superscript"/>
        </w:rPr>
        <w:t>1</w:t>
      </w:r>
      <w:r>
        <w:rPr>
          <w:b/>
          <w:bCs/>
          <w:smallCaps/>
          <w:sz w:val="20"/>
          <w:szCs w:val="20"/>
        </w:rPr>
        <w:t>,</w:t>
      </w:r>
      <w:r>
        <w:rPr>
          <w:b/>
          <w:bCs/>
          <w:sz w:val="20"/>
          <w:szCs w:val="20"/>
        </w:rPr>
        <w:t xml:space="preserve"> Valery Lancheros-Suarez</w:t>
      </w:r>
      <w:r>
        <w:rPr>
          <w:b/>
          <w:bCs/>
          <w:smallCaps/>
          <w:sz w:val="20"/>
          <w:szCs w:val="20"/>
          <w:vertAlign w:val="superscript"/>
        </w:rPr>
        <w:t xml:space="preserve"> 1</w:t>
      </w:r>
      <w:r>
        <w:rPr>
          <w:b/>
          <w:bCs/>
          <w:smallCaps/>
          <w:sz w:val="20"/>
          <w:szCs w:val="20"/>
        </w:rPr>
        <w:t xml:space="preserve">, </w:t>
      </w:r>
      <w:r>
        <w:rPr>
          <w:b/>
          <w:bCs/>
          <w:sz w:val="20"/>
          <w:szCs w:val="20"/>
        </w:rPr>
        <w:t>Wilmer Velilla-Díaz</w:t>
      </w:r>
      <w:r>
        <w:rPr>
          <w:b/>
          <w:bCs/>
          <w:smallCaps/>
          <w:sz w:val="20"/>
          <w:szCs w:val="20"/>
          <w:vertAlign w:val="superscript"/>
        </w:rPr>
        <w:t xml:space="preserve"> 2</w:t>
      </w:r>
    </w:p>
    <w:p w14:paraId="604A7C1F" w14:textId="77777777" w:rsidR="00FE1A8E" w:rsidRDefault="00FE1A8E">
      <w:pPr>
        <w:pStyle w:val="Default"/>
        <w:jc w:val="center"/>
        <w:rPr>
          <w:sz w:val="20"/>
          <w:szCs w:val="20"/>
        </w:rPr>
      </w:pPr>
    </w:p>
    <w:p w14:paraId="24889059" w14:textId="77777777" w:rsidR="00FE1A8E" w:rsidRDefault="00FE1A8E">
      <w:pPr>
        <w:pStyle w:val="Default"/>
        <w:ind w:left="1416" w:hanging="1416"/>
        <w:jc w:val="center"/>
        <w:rPr>
          <w:sz w:val="20"/>
          <w:szCs w:val="20"/>
        </w:rPr>
      </w:pPr>
    </w:p>
    <w:p w14:paraId="26166D11" w14:textId="77777777" w:rsidR="00FE1A8E" w:rsidRPr="006A65EE" w:rsidRDefault="00084A57">
      <w:pPr>
        <w:jc w:val="center"/>
        <w:rPr>
          <w:sz w:val="18"/>
          <w:lang w:val="en-US"/>
        </w:rPr>
      </w:pPr>
      <w:r>
        <w:rPr>
          <w:sz w:val="18"/>
          <w:vertAlign w:val="superscript"/>
        </w:rPr>
        <w:t>1</w:t>
      </w:r>
      <w:r>
        <w:rPr>
          <w:sz w:val="18"/>
        </w:rPr>
        <w:t xml:space="preserve">Grupo ICT, Departamento de Ingeniería mecánica, Universidad de Córdoba, Colombia. </w:t>
      </w:r>
      <w:r w:rsidRPr="006A65EE">
        <w:rPr>
          <w:sz w:val="18"/>
          <w:lang w:val="en-US"/>
        </w:rPr>
        <w:t xml:space="preserve">Email: </w:t>
      </w:r>
      <w:hyperlink r:id="rId8">
        <w:r w:rsidRPr="006A65EE">
          <w:rPr>
            <w:rStyle w:val="EnlacedeInternet"/>
            <w:sz w:val="18"/>
            <w:lang w:val="en-US"/>
          </w:rPr>
          <w:t>mpacheoagamez@correo.unicodoba.edu.co</w:t>
        </w:r>
      </w:hyperlink>
      <w:r w:rsidRPr="006A65EE">
        <w:rPr>
          <w:sz w:val="18"/>
          <w:lang w:val="en-US"/>
        </w:rPr>
        <w:t xml:space="preserve">; </w:t>
      </w:r>
      <w:hyperlink r:id="rId9">
        <w:r w:rsidRPr="006A65EE">
          <w:rPr>
            <w:rStyle w:val="EnlacedeInternet"/>
            <w:sz w:val="18"/>
            <w:lang w:val="en-US"/>
          </w:rPr>
          <w:t>vlancheros@correo.unicordoba.edu.co</w:t>
        </w:r>
      </w:hyperlink>
    </w:p>
    <w:p w14:paraId="4562EAA2" w14:textId="3EA43FBC" w:rsidR="00FE1A8E" w:rsidRDefault="00084A57">
      <w:pPr>
        <w:jc w:val="center"/>
        <w:rPr>
          <w:sz w:val="18"/>
        </w:rPr>
      </w:pPr>
      <w:r>
        <w:rPr>
          <w:rStyle w:val="FootnoteCharacters"/>
          <w:sz w:val="16"/>
          <w:szCs w:val="18"/>
        </w:rPr>
        <w:t>2</w:t>
      </w:r>
      <w:r>
        <w:rPr>
          <w:sz w:val="18"/>
          <w:vertAlign w:val="superscript"/>
        </w:rPr>
        <w:t xml:space="preserve"> </w:t>
      </w:r>
      <w:proofErr w:type="gramStart"/>
      <w:r>
        <w:rPr>
          <w:sz w:val="18"/>
        </w:rPr>
        <w:t>Instituto</w:t>
      </w:r>
      <w:proofErr w:type="gramEnd"/>
      <w:r>
        <w:rPr>
          <w:sz w:val="18"/>
        </w:rPr>
        <w:t xml:space="preserve"> de Diseño y Métodos Industriales, Universidad Austral, Chile. Email: </w:t>
      </w:r>
      <w:hyperlink r:id="rId10">
        <w:r>
          <w:rPr>
            <w:rStyle w:val="EnlacedeInternet"/>
            <w:sz w:val="18"/>
          </w:rPr>
          <w:t>wilmer.velilla@uach.cl</w:t>
        </w:r>
      </w:hyperlink>
    </w:p>
    <w:p w14:paraId="7ED0314C" w14:textId="77777777" w:rsidR="00FE1A8E" w:rsidRDefault="00FE1A8E">
      <w:pPr>
        <w:pStyle w:val="Default"/>
        <w:rPr>
          <w:bCs/>
          <w:sz w:val="18"/>
          <w:szCs w:val="16"/>
        </w:rPr>
      </w:pPr>
    </w:p>
    <w:p w14:paraId="140038C2" w14:textId="77777777" w:rsidR="00FE1A8E" w:rsidRDefault="00FE1A8E">
      <w:pPr>
        <w:pStyle w:val="Default"/>
        <w:jc w:val="center"/>
        <w:rPr>
          <w:bCs/>
          <w:smallCaps/>
          <w:sz w:val="20"/>
          <w:szCs w:val="16"/>
        </w:rPr>
      </w:pPr>
    </w:p>
    <w:p w14:paraId="678E1F99" w14:textId="77777777" w:rsidR="00FE1A8E" w:rsidRDefault="00FE1A8E">
      <w:pPr>
        <w:pStyle w:val="Default"/>
      </w:pPr>
    </w:p>
    <w:p w14:paraId="525F2877" w14:textId="77777777" w:rsidR="00FE1A8E" w:rsidRDefault="00FE1A8E">
      <w:pPr>
        <w:sectPr w:rsidR="00FE1A8E">
          <w:headerReference w:type="even" r:id="rId11"/>
          <w:headerReference w:type="default" r:id="rId12"/>
          <w:headerReference w:type="first" r:id="rId13"/>
          <w:pgSz w:w="11906" w:h="16838"/>
          <w:pgMar w:top="1934" w:right="1418" w:bottom="1418" w:left="1418" w:header="1064" w:footer="0" w:gutter="0"/>
          <w:cols w:space="720"/>
          <w:formProt w:val="0"/>
          <w:titlePg/>
          <w:docGrid w:linePitch="600" w:charSpace="40960"/>
        </w:sectPr>
      </w:pPr>
    </w:p>
    <w:p w14:paraId="27A04F0C" w14:textId="77777777" w:rsidR="00FE1A8E" w:rsidRDefault="00084A57">
      <w:pPr>
        <w:pStyle w:val="Default"/>
        <w:rPr>
          <w:b/>
          <w:sz w:val="20"/>
          <w:szCs w:val="20"/>
        </w:rPr>
      </w:pPr>
      <w:r>
        <w:rPr>
          <w:b/>
          <w:bCs/>
          <w:sz w:val="20"/>
          <w:szCs w:val="20"/>
        </w:rPr>
        <w:t>Resumen</w:t>
      </w:r>
    </w:p>
    <w:p w14:paraId="4C0555D4" w14:textId="77777777" w:rsidR="00FE1A8E" w:rsidRDefault="00FE1A8E">
      <w:pPr>
        <w:pStyle w:val="Default"/>
        <w:rPr>
          <w:sz w:val="20"/>
          <w:szCs w:val="20"/>
        </w:rPr>
      </w:pPr>
    </w:p>
    <w:p w14:paraId="03BA7106" w14:textId="104952CA" w:rsidR="00FE1A8E" w:rsidRDefault="00084A57">
      <w:r>
        <w:t xml:space="preserve">Los materiales nano cristalinos (tamaño de grano &lt;100nm) exhiben propiedades mecánicas </w:t>
      </w:r>
      <w:r w:rsidR="002D0147">
        <w:t xml:space="preserve">de mayor magnitud </w:t>
      </w:r>
      <w:r>
        <w:t xml:space="preserve">que los materiales con tamaño de grano grueso. </w:t>
      </w:r>
      <w:r w:rsidR="002D0147">
        <w:t>L</w:t>
      </w:r>
      <w:r>
        <w:t xml:space="preserve">a resistencia última </w:t>
      </w:r>
      <w:r w:rsidR="002D0147">
        <w:t xml:space="preserve">a la tensión </w:t>
      </w:r>
      <w:r>
        <w:t>de un nano cristal de Aluminio (Al) sin defectos es de</w:t>
      </w:r>
      <w:r w:rsidR="002D0147">
        <w:t>l orden de</w:t>
      </w:r>
      <w:r>
        <w:t xml:space="preserve"> 7 GPa. En esta investigación, se estudi</w:t>
      </w:r>
      <w:r w:rsidR="002D0147">
        <w:t>a</w:t>
      </w:r>
      <w:r>
        <w:t xml:space="preserve"> la influencia del tamaño de grano en la distribución de esfuerzos locales para monocristales fisurados sometidos a </w:t>
      </w:r>
      <w:r w:rsidR="002D0147">
        <w:t xml:space="preserve">cargas monotónicas bajo </w:t>
      </w:r>
      <w:r>
        <w:t>deformaci</w:t>
      </w:r>
      <w:r w:rsidR="002D0147">
        <w:t>ón</w:t>
      </w:r>
      <w:r>
        <w:t xml:space="preserve"> controlada en modo</w:t>
      </w:r>
      <w:r w:rsidR="002D0147">
        <w:t xml:space="preserve"> de carga</w:t>
      </w:r>
      <w:r>
        <w:t xml:space="preserve"> I. El método multiescala Átomo al continuo (ATC) </w:t>
      </w:r>
      <w:r w:rsidR="002D0147">
        <w:t>es</w:t>
      </w:r>
      <w:r>
        <w:t xml:space="preserve"> implementado usando cantidades atómicas provenientes de resultados de simulaciones de dinámica molecular (</w:t>
      </w:r>
      <w:r w:rsidR="00CC2744">
        <w:t>DM</w:t>
      </w:r>
      <w:r>
        <w:t>)</w:t>
      </w:r>
      <w:r w:rsidR="002D0147">
        <w:t xml:space="preserve"> y permite la</w:t>
      </w:r>
      <w:r>
        <w:t xml:space="preserve"> construcción de </w:t>
      </w:r>
      <w:r w:rsidR="002D0147">
        <w:t>l</w:t>
      </w:r>
      <w:r>
        <w:t xml:space="preserve">a simulación por </w:t>
      </w:r>
      <w:r w:rsidR="00CC2744">
        <w:t xml:space="preserve">el método de </w:t>
      </w:r>
      <w:r>
        <w:t>elementos finitos (</w:t>
      </w:r>
      <w:r w:rsidR="00CC2744">
        <w:t>M</w:t>
      </w:r>
      <w:r>
        <w:t>EF) p</w:t>
      </w:r>
      <w:r w:rsidR="002D0147">
        <w:t>ara</w:t>
      </w:r>
      <w:r>
        <w:t xml:space="preserve"> estimar el campo de esfuerzos del material. El campo de esfuerzos locales y la resistencia última </w:t>
      </w:r>
      <w:r w:rsidR="00CC2744">
        <w:t>se</w:t>
      </w:r>
      <w:r>
        <w:t xml:space="preserve"> estima</w:t>
      </w:r>
      <w:r w:rsidR="00CC2744">
        <w:t>n</w:t>
      </w:r>
      <w:r>
        <w:t xml:space="preserve"> usando la formulación de Hardy y ATC para monocristales de Al. Los resultados para </w:t>
      </w:r>
      <w:r w:rsidR="00CC2744">
        <w:t xml:space="preserve">los </w:t>
      </w:r>
      <w:r>
        <w:t xml:space="preserve">diferentes tamaños de grano </w:t>
      </w:r>
      <w:r w:rsidR="00CC2744">
        <w:t>estudiados muestran</w:t>
      </w:r>
      <w:r>
        <w:t xml:space="preserve"> co</w:t>
      </w:r>
      <w:r w:rsidR="00CC2744">
        <w:t>nvergencia</w:t>
      </w:r>
      <w:r>
        <w:t xml:space="preserve"> con los valores reportados en la literatura. Adicionalmente, </w:t>
      </w:r>
      <w:r w:rsidR="00CC2744">
        <w:t>se observa que el valor</w:t>
      </w:r>
      <w:r>
        <w:t xml:space="preserve"> </w:t>
      </w:r>
      <w:r w:rsidR="00CC2744">
        <w:t xml:space="preserve">de la </w:t>
      </w:r>
      <w:r>
        <w:t xml:space="preserve">resistencia última </w:t>
      </w:r>
      <w:r w:rsidR="00CC2744">
        <w:t>es</w:t>
      </w:r>
      <w:r>
        <w:t xml:space="preserve"> independ</w:t>
      </w:r>
      <w:r w:rsidR="00CC2744">
        <w:t>iente</w:t>
      </w:r>
      <w:r>
        <w:t xml:space="preserve"> del tamaño de grano en </w:t>
      </w:r>
      <w:r w:rsidR="00CC2744">
        <w:t xml:space="preserve">los </w:t>
      </w:r>
      <w:r>
        <w:t>monocristales</w:t>
      </w:r>
      <w:r w:rsidR="00CC2744">
        <w:t xml:space="preserve"> estudiados</w:t>
      </w:r>
      <w:r>
        <w:t>.</w:t>
      </w:r>
    </w:p>
    <w:p w14:paraId="228E9FD7" w14:textId="77777777" w:rsidR="00FE1A8E" w:rsidRDefault="00FE1A8E"/>
    <w:p w14:paraId="5496B879" w14:textId="77777777" w:rsidR="00FE1A8E" w:rsidRDefault="00084A57">
      <w:r>
        <w:rPr>
          <w:b/>
          <w:bCs/>
        </w:rPr>
        <w:t>Palabras clave</w:t>
      </w:r>
      <w:r>
        <w:rPr>
          <w:b/>
        </w:rPr>
        <w:t xml:space="preserve">: </w:t>
      </w:r>
      <w:r>
        <w:t>simulación atomística, mecánica del medio continuo, método multiescala, campo de esfuerzo.</w:t>
      </w:r>
    </w:p>
    <w:p w14:paraId="352FCABB" w14:textId="77777777" w:rsidR="00FE1A8E" w:rsidRDefault="00FE1A8E">
      <w:pPr>
        <w:pStyle w:val="Default"/>
        <w:ind w:right="-232"/>
        <w:jc w:val="both"/>
        <w:rPr>
          <w:sz w:val="20"/>
        </w:rPr>
      </w:pPr>
    </w:p>
    <w:p w14:paraId="05813A6F" w14:textId="77777777" w:rsidR="00FE1A8E" w:rsidRDefault="00FE1A8E">
      <w:pPr>
        <w:pStyle w:val="Default"/>
        <w:ind w:right="-232"/>
        <w:jc w:val="both"/>
        <w:rPr>
          <w:sz w:val="20"/>
        </w:rPr>
      </w:pPr>
    </w:p>
    <w:p w14:paraId="49AB6746" w14:textId="77777777" w:rsidR="00FE1A8E" w:rsidRDefault="00084A57">
      <w:pPr>
        <w:pStyle w:val="Default"/>
        <w:ind w:right="-232"/>
        <w:jc w:val="both"/>
        <w:rPr>
          <w:b/>
          <w:sz w:val="20"/>
          <w:szCs w:val="20"/>
          <w:lang w:val="en-US"/>
        </w:rPr>
      </w:pPr>
      <w:r>
        <w:rPr>
          <w:b/>
          <w:bCs/>
          <w:sz w:val="20"/>
          <w:szCs w:val="20"/>
          <w:lang w:val="en-US"/>
        </w:rPr>
        <w:t>Abstract</w:t>
      </w:r>
    </w:p>
    <w:p w14:paraId="4FA5D60D" w14:textId="77777777" w:rsidR="00FE1A8E" w:rsidRDefault="00FE1A8E">
      <w:pPr>
        <w:pStyle w:val="Default"/>
        <w:jc w:val="both"/>
        <w:rPr>
          <w:b/>
          <w:sz w:val="20"/>
          <w:szCs w:val="20"/>
          <w:lang w:val="en-US"/>
        </w:rPr>
      </w:pPr>
    </w:p>
    <w:p w14:paraId="28118099" w14:textId="77777777" w:rsidR="00FE1A8E" w:rsidRDefault="00084A57">
      <w:pPr>
        <w:rPr>
          <w:rStyle w:val="hps"/>
          <w:rFonts w:cs="Times New Roman"/>
          <w:color w:val="000000"/>
          <w:lang w:val="en-US"/>
        </w:rPr>
      </w:pPr>
      <w:r>
        <w:rPr>
          <w:lang w:val="en-US"/>
        </w:rPr>
        <w:t>Nanocrystalline materials (grain size &lt; 100 nm) showed higher mechanical properties than coarse grain materials. Such as the ultimate tensile strength (UTS) of Nanocrystalline Aluminum (Al), which was almost 7 GPa in a perfect single-crystal. In this research, the influence of grain size on the local stress distribution during crack propagation through a concurrent multi-scale method that related the Molecular dynamics (MD) approach and Finite Element Method (FEM) was studied. The atomic-scale quantities were obtained from MD simulations of a single-crystal Al loaded under controlled deformation in mode I. The embedded-atom method (EAM) potential was used in the atomistic sub-domain and a multi-scale model, Atom-to-Continuum (ATC), was implemented to estimate the stress field using a localization function in the FE sub-domain. Local stress fields and UTSs were estimated using Hardy's formulation and ATC for a single crystal of Al. Then, UTSs for different grain sizes of single crystals were evaluated using ATC. The simulation results were according to the reported values in the literature. Additionally, UTSs showed grain size independence for single-crystal samples.</w:t>
      </w:r>
    </w:p>
    <w:p w14:paraId="427F392F" w14:textId="77777777" w:rsidR="00FE1A8E" w:rsidRDefault="00FE1A8E">
      <w:pPr>
        <w:rPr>
          <w:rStyle w:val="hps"/>
          <w:rFonts w:cs="Times New Roman"/>
          <w:color w:val="000000"/>
          <w:lang w:val="en-GB"/>
        </w:rPr>
      </w:pPr>
    </w:p>
    <w:p w14:paraId="25C1A47B" w14:textId="77777777" w:rsidR="00FE1A8E" w:rsidRDefault="00084A57">
      <w:pPr>
        <w:rPr>
          <w:color w:val="000000"/>
          <w:lang w:val="en-US"/>
        </w:rPr>
      </w:pPr>
      <w:r>
        <w:rPr>
          <w:b/>
          <w:color w:val="000000"/>
          <w:lang w:val="en-US"/>
        </w:rPr>
        <w:t>Keywords:</w:t>
      </w:r>
      <w:r>
        <w:rPr>
          <w:lang w:val="en-US"/>
        </w:rPr>
        <w:t xml:space="preserve"> atomistic simulation, continuum mechanics, multiscale method, stress field.</w:t>
      </w:r>
    </w:p>
    <w:p w14:paraId="10CFC573" w14:textId="77777777" w:rsidR="00FE1A8E" w:rsidRDefault="00FE1A8E">
      <w:pPr>
        <w:rPr>
          <w:color w:val="000000"/>
          <w:lang w:val="en-US"/>
        </w:rPr>
      </w:pPr>
    </w:p>
    <w:p w14:paraId="0DD67A30" w14:textId="77777777" w:rsidR="00FE1A8E" w:rsidRDefault="00FE1A8E">
      <w:pPr>
        <w:rPr>
          <w:lang w:val="en-GB"/>
        </w:rPr>
      </w:pPr>
    </w:p>
    <w:p w14:paraId="781A39C2" w14:textId="77777777" w:rsidR="00FE1A8E" w:rsidRPr="0021596F" w:rsidRDefault="00FE1A8E">
      <w:pPr>
        <w:rPr>
          <w:lang w:val="en-US"/>
        </w:rPr>
        <w:sectPr w:rsidR="00FE1A8E" w:rsidRPr="0021596F">
          <w:type w:val="continuous"/>
          <w:pgSz w:w="11906" w:h="16838"/>
          <w:pgMar w:top="1934" w:right="1418" w:bottom="1418" w:left="1418" w:header="1064" w:footer="0" w:gutter="0"/>
          <w:cols w:space="720"/>
          <w:formProt w:val="0"/>
          <w:docGrid w:linePitch="600" w:charSpace="40960"/>
        </w:sectPr>
      </w:pPr>
    </w:p>
    <w:p w14:paraId="2126BBC4" w14:textId="77777777" w:rsidR="00FE1A8E" w:rsidRDefault="00084A57">
      <w:pPr>
        <w:pStyle w:val="Ttulo1"/>
        <w:numPr>
          <w:ilvl w:val="0"/>
          <w:numId w:val="2"/>
        </w:numPr>
        <w:rPr>
          <w:lang w:val="en-US"/>
        </w:rPr>
      </w:pPr>
      <w:r>
        <w:t>Introducción</w:t>
      </w:r>
    </w:p>
    <w:p w14:paraId="65FE2472" w14:textId="77777777" w:rsidR="00FE1A8E" w:rsidRDefault="00FE1A8E">
      <w:pPr>
        <w:rPr>
          <w:lang w:val="en-US"/>
        </w:rPr>
      </w:pPr>
    </w:p>
    <w:p w14:paraId="61C905E0" w14:textId="1B3E0682" w:rsidR="00FE1A8E" w:rsidRPr="003C0A62" w:rsidRDefault="00084A57">
      <w:r>
        <w:t xml:space="preserve">El desarrollo de modelos estocásticos, la dinámica molecular y el </w:t>
      </w:r>
      <w:r w:rsidR="006774E1">
        <w:t>aumento</w:t>
      </w:r>
      <w:r>
        <w:t xml:space="preserve"> de</w:t>
      </w:r>
      <w:r w:rsidR="006774E1">
        <w:t xml:space="preserve"> </w:t>
      </w:r>
      <w:r>
        <w:t>l</w:t>
      </w:r>
      <w:r w:rsidR="006774E1">
        <w:t>as capacidades de</w:t>
      </w:r>
      <w:r>
        <w:t xml:space="preserve"> </w:t>
      </w:r>
      <w:r w:rsidR="006774E1">
        <w:t>cómputo</w:t>
      </w:r>
      <w:r>
        <w:t xml:space="preserve"> han hecho posible el estudio del comportamiento mecánico de materiales, como el Aluminio, en su escala fundamental </w:t>
      </w:r>
      <w:r>
        <w:fldChar w:fldCharType="begin" w:fldLock="1"/>
      </w:r>
      <w:r w:rsidR="00E71688">
        <w:instrText>ADDIN CSL_CITATION {"citationItems":[{"id":"ITEM-1","itemData":{"DOI":"10.1016/j.jmps.2015.12.003","ISSN":"00225096","abstract":"Fracture occurs on multiple interacting length scales; atoms separate on the atomic scale while plasticity develops on the microscale. A dynamic multiscale approach (CADD: coupled atomistics and discrete dislocations) is employed to investigate an edge-cracked specimen of single-crystal nickel, Ni, (brittle failure) and aluminum, Al, (ductile failure) subjected to mode-I loading. The dynamic model couples continuum finite elements to a fully atomistic region, with key advantages such as the ability to accommodate discrete dislocations in the continuum region and an algorithm for automatically detecting dislocations as they move from the atomistic region to the continuum region and then correctly \"converting\" the atomistic dislocations into discrete dislocations, or vice-versa. An ad hoc computational technique is also applied to dissipate localized waves formed during crack advance in the atomistic zone, whereby an embedded damping zone at the atomistic/continuum interface effectively eliminates the spurious reflection of high-frequency phonons, while allowing low-frequency phonons to pass into the continuum region. The simulations accurately capture the essential physics of the crack propagation in a Ni specimen at different temperatures, including the formation of nano-voids and the sudden acceleration of the crack tip to a velocity close to the material Rayleigh wave speed. The nanoscale brittle fracture happens through the crack growth in the form of nano-void nucleation, growth and coalescence ahead of the crack tip, and as such resembles fracture at the microscale. When the crack tip behaves in a ductile manner, the crack does not advance rapidly after the pre-opening process but is blunted by dislocation generation from its tip. The effect of temperature on crack speed is found to be perceptible in both ductile and brittle specimens.","author":[{"dropping-particle":"","family":"Shiari","given":"Behrouz","non-dropping-particle":"","parse-names":false,"suffix":""},{"dropping-particle":"","family":"Miller","given":"Ronald E.","non-dropping-particle":"","parse-names":false,"suffix":""}],"container-title":"Journal of the Mechanics and Physics of Solids","id":"ITEM-1","issued":{"date-parts":[["2016"]]},"page":"35-49","publisher":"Elsevier","title":"Multiscale modeling of crack initiation and propagation at the nanoscale","type":"article-journal","volume":"88"},"uris":["http://www.mendeley.com/documents/?uuid=3d8872b5-a2e4-4e62-b84b-7133ecae4880"]},{"id":"ITEM-2","itemData":{"DOI":"10.26872/jmes.2018.9.1.11","ISSN":"20282508","abstract":"The study of a material is done by the study of its mechanical, chemical, physical and thermal properties. The bulk modulus as one of the important mechanical properties of metals; the radial distribution function; describes how the density varies as a function of the distance to a particle of reference; are calculated using molecular dynamics simulation method. The box of simulation contains 4000 atoms of pure aluminum and two different potentials functions are utilized to predict the bulk modulus for pure aluminum. We have also calculated the radial distribution function, and the rupture pressure Therefore, all simulations were performed with the use of the code of molecular dynamics LAMMPS. We found that the potential functions to two body can predict the bulk modulus of aluminum in agreement with the experimental data.","author":[{"dropping-particle":"","family":"Chabba","given":"H.","non-dropping-particle":"","parse-names":false,"suffix":""},{"dropping-particle":"","family":"Lemaalem","given":"M.","non-dropping-particle":"","parse-names":false,"suffix":""},{"dropping-particle":"","family":"Derouiche","given":"A.","non-dropping-particle":"","parse-names":false,"suffix":""},{"dropping-particle":"","family":"Dafir","given":"D.","non-dropping-particle":"","parse-names":false,"suffix":""}],"container-title":"Journal of Materials and Environmental Science","id":"ITEM-2","issue":"1","issued":{"date-parts":[["2018"]]},"page":"93-99","title":"Modeling aluminum using molecular dynamics simulation","type":"article-journal","volume":"9"},"uris":["http://www.mendeley.com/documents/?uuid=e25e99d4-043c-4a77-89a8-a0b671ee289b"]},{"id":"ITEM-3","itemData":{"DOI":"10.1080/08927022.2020.1788217","ISSN":"10290435","abstract":"Uniaxial deformation was performed using molecular dynamics to estimate the mechanical properties of nanocrystalline aluminium. It was observed that the stacking faults and sliding of the grain boundaries affected the mechanical properties. In addition, accumulation of atoms near grain boundaries during deformation hardened the nanocrystalline material as the grain diameter increased (reverse Hall-Petch relation). Further, the effects of strain rate and temperature were investigated with various mean grain diameters. Investigation showed that mechanical properties were independent of tested strain rates (109–1010 s−1) and that the nanocrystalline material softened with increasing temperature. The elastic modulus was then compared to experimental results from literature at room temperature. The change in crystalline structure was observed with respect to percent strain and various mean grain diameters of nanocrystalline aluminium. It was observed that stacking faults increased with decreased mean grain diameter, which led to reduced mechanical properties.","author":[{"dropping-particle":"","family":"Subedi","given":"Sabir","non-dropping-particle":"","parse-names":false,"suffix":""},{"dropping-particle":"","family":"Handrigan","given":"Stephen M.","non-dropping-particle":"","parse-names":false,"suffix":""},{"dropping-particle":"","family":"Morrissey","given":"Liam S.","non-dropping-particle":"","parse-names":false,"suffix":""},{"dropping-particle":"","family":"Nakhla","given":"Sam","non-dropping-particle":"","parse-names":false,"suffix":""}],"container-title":"Molecular Simulation","id":"ITEM-3","issue":"0","issued":{"date-parts":[["2020"]]},"page":"898-904","publisher":"Taylor &amp; Francis","title":"Mechanical properties of nanocrystalline aluminium: a molecular dynamics investigation","type":"article-journal","volume":"0"},"uris":["http://www.mendeley.com/documents/?uuid=b98f5a6f-c66b-48af-b9fc-cc3f0becae36"]},{"id":"ITEM-4","itemData":{"DOI":"10.6122/CJP.20150928A","ISSN":"05779073","abstract":"In materials, strength is usually controlled by the occurrence of grain boundaries, dislocations, voids, and other microstructural defects. molecular dynamics (MD) simulations with the embedded atom method potential have been employed to investigate the uniaxial tension and compression of single crystal aluminum with and without defects. In this paper, defect refers to a void or grain boundary. For perfect crystal aluminum, the ideal strengths and stress-strain curves obtained from the MD simulations agree well with those obtained by first principles calculations. The strength and ductility of Al decrease with the occurrence of void and grain boundaries. The effect of void size on the uniaxial stress-strain relations is investigated. Also, dislocation nucleation and emission from the void free surface are observed. In order to study the effect of a grain boundary, we generate a symmetric tilt grain boundary Σ5(310) and strain is imposed perpendicular to the boundary interface. We can clearly see that fracture starts in the grain boundary. The observed defect pattern is expected to provide some helpful insights into the damage mechanism of ductile materials at the microscale. The effects of temperature, strain rate, and crystalline direction on the ideal strength are also discussed.","author":[{"dropping-particle":"","family":"Tang","given":"Bin","non-dropping-particle":"","parse-names":false,"suffix":""},{"dropping-particle":"","family":"Yang","given":"Rong","non-dropping-particle":"","parse-names":false,"suffix":""}],"container-title":"Chinese Journal of Physics","id":"ITEM-4","issue":"7","issued":{"date-parts":[["2015"]]},"page":"1-13","title":"Molecular dynamics study of uniaxial deformation in perfect and defective aluminum","type":"article-journal","volume":"53"},"uris":["http://www.mendeley.com/documents/?uuid=1ba0c713-c83d-4624-bafb-f23913df8c91"]},{"id":"ITEM-5","itemData":{"DOI":"10.3390/nano11030680","ISSN":"20794991","abstract":"In this publication, molecular dynamics simulations are used to investigate the fracture behavior of single-crystal aluminum. The stress intensity factor is estimated by means of four different methods, the accuracy is assessed for each approach and the fracture toughness is estimated. The proposed methodology is also applied to estimate the fracture toughness for graphene and diamond using published data from other scientific articles. The obtained fracture toughness for the single-crystal aluminum is compared with other nanomaterials that have similar microstructures. Dislocation emission during the fracture simulation of the cracked nano-crystal of aluminum is analyzed to study the fracture behavior. Brittle fracture behavior is the predominant failure mode for the nanomaterials studied in this research.","author":[{"dropping-particle":"","family":"Velilla-Díaz","given":"Wilmer","non-dropping-particle":"","parse-names":false,"suffix":""},{"dropping-particle":"","family":"Ricardo","given":"Luis","non-dropping-particle":"","parse-names":false,"suffix":""},{"dropping-particle":"","family":"Palencia","given":"Argemiro","non-dropping-particle":"","parse-names":false,"suffix":""},{"dropping-particle":"","family":"Zambrano","given":"Habib R.","non-dropping-particle":"","parse-names":false,"suffix":""}],"container-title":"Nanomaterials","id":"ITEM-5","issue":"3","issued":{"date-parts":[["2021"]]},"page":"1-11","title":"Fracture toughness estimation of single-crystal aluminum at nanoscale","type":"article-journal","volume":"11"},"uris":["http://www.mendeley.com/documents/?uuid=b591e5df-0c71-481e-b422-5b08a4d9c7f7"]}],"mendeley":{"formattedCitation":"[1]–[5]","plainTextFormattedCitation":"[1]–[5]","previouslyFormattedCitation":"[1]–[4]"},"properties":{"noteIndex":0},"schema":"https://github.com/citation-style-language/schema/raw/master/csl-citation.json"}</w:instrText>
      </w:r>
      <w:r>
        <w:fldChar w:fldCharType="separate"/>
      </w:r>
      <w:r w:rsidR="00E71688" w:rsidRPr="00E71688">
        <w:rPr>
          <w:noProof/>
        </w:rPr>
        <w:t>[1]–[5]</w:t>
      </w:r>
      <w:r>
        <w:fldChar w:fldCharType="end"/>
      </w:r>
      <w:r>
        <w:t xml:space="preserve">. </w:t>
      </w:r>
      <w:r w:rsidR="006774E1">
        <w:t>La estimación</w:t>
      </w:r>
      <w:r>
        <w:t xml:space="preserve"> de propiedades mecánicas excepcionales de materiales a escala nanométrica ha despertado un gran interés en </w:t>
      </w:r>
      <w:r>
        <w:t xml:space="preserve">este campo de estudio a lo largo de </w:t>
      </w:r>
      <w:r w:rsidR="006774E1">
        <w:t xml:space="preserve">diferentes </w:t>
      </w:r>
      <w:r>
        <w:t xml:space="preserve">investigaciones </w:t>
      </w:r>
      <w:r>
        <w:fldChar w:fldCharType="begin" w:fldLock="1"/>
      </w:r>
      <w:r w:rsidR="00E71688">
        <w:instrText>ADDIN CSL_CITATION {"citationItems":[{"id":"ITEM-1","itemData":{"author":[{"dropping-particle":"","family":"Hahn","given":"Eric N.","non-dropping-particle":"","parse-names":false,"suffix":""},{"dropping-particle":"","family":"Meyers","given":"Marc A.","non-dropping-particle":"","parse-names":false,"suffix":""}],"container-title":"Materials Science and Engineering A","id":"ITEM-1","issued":{"date-parts":[["2015"]]},"page":"101-134","title":"Grain-size dependent mechanical behavior of nanocrystalline metals","type":"article-journal","volume":"646"},"uris":["http://www.mendeley.com/documents/?uuid=f59f0aa6-3fab-4821-8313-2bab1daea72c"]},{"id":"ITEM-2","itemData":{"DOI":"10.1016/j.msea.2017.10.021","ISSN":"09215093","abstract":"This work carries out comprehensive classical molecular dynamics simulations of uniaxial tensile deformation for nanocrystalline Al samples with a broad range of different mean grain sizes. The largest nanocrystalline Al sample has a mean grain size of about 30 nm and contains over 100 millions atoms in the modeling system. The grain size dependence of yield stress and the atomic fraction of dislocations are quantified and the size dependence tensile nanomechanics are also revealed. Deformation twinning and grain boundary migration are observed as main mechanisms of tensile deformation in the nanocrystalline Al. In particular, the complete Hall-Petch relationship for the nanocrystalline Al bulk is determined for the first time in this study, from which three distinct regions are identified including the normal, inverse, and extended regions in the Hall-Petch relationship. We expect these findings will provide useful insights in the nanomechanics of nanocrystalline Al. The quantitation analyses on dislocations and mechanical properties may facilitate the design and development of high strength nanocrystalline Al and Al based alloys as well as future testing procedures for promising structural and transportation applications.","author":[{"dropping-particle":"","family":"Xu","given":"Wenwu","non-dropping-particle":"","parse-names":false,"suffix":""},{"dropping-particle":"","family":"Dávila","given":"Lilian P.","non-dropping-particle":"","parse-names":false,"suffix":""}],"container-title":"Materials Science and Engineering A","id":"ITEM-2","issue":"October 2017","issued":{"date-parts":[["2018"]]},"page":"413-418","publisher":"Elsevier B.V.","title":"Tensile nanomechanics and the Hall-Petch effect in nanocrystalline aluminium","type":"article-journal","volume":"710"},"uris":["http://www.mendeley.com/documents/?uuid=78ff6bc1-df30-4848-b48d-7f6bf56ec897"]}],"mendeley":{"formattedCitation":"[6], [7]","plainTextFormattedCitation":"[6], [7]","previouslyFormattedCitation":"[5], [6]"},"properties":{"noteIndex":0},"schema":"https://github.com/citation-style-language/schema/raw/master/csl-citation.json"}</w:instrText>
      </w:r>
      <w:r>
        <w:fldChar w:fldCharType="separate"/>
      </w:r>
      <w:r w:rsidR="00E71688" w:rsidRPr="00E71688">
        <w:rPr>
          <w:noProof/>
        </w:rPr>
        <w:t>[6], [7]</w:t>
      </w:r>
      <w:r>
        <w:fldChar w:fldCharType="end"/>
      </w:r>
      <w:r>
        <w:t xml:space="preserve">. No obstante, por su potencial </w:t>
      </w:r>
      <w:r w:rsidR="006774E1">
        <w:t>aplicación</w:t>
      </w:r>
      <w:r>
        <w:t xml:space="preserve"> en industrias de gran envergadura como la aeronáutica, la automotriz</w:t>
      </w:r>
      <w:r w:rsidR="00A51CB2">
        <w:t>, la medicina y en general la</w:t>
      </w:r>
      <w:r w:rsidR="006774E1">
        <w:t>s tecnologías asociadas a la</w:t>
      </w:r>
      <w:r w:rsidR="00A51CB2">
        <w:t xml:space="preserve"> industria 4.0</w:t>
      </w:r>
      <w:r>
        <w:t xml:space="preserve">, el aluminio </w:t>
      </w:r>
      <w:r w:rsidR="006774E1">
        <w:t>requiere</w:t>
      </w:r>
      <w:r>
        <w:t xml:space="preserve"> gran atención a la hora de</w:t>
      </w:r>
      <w:r w:rsidR="006774E1">
        <w:t xml:space="preserve"> su</w:t>
      </w:r>
      <w:r>
        <w:t xml:space="preserve"> estudio </w:t>
      </w:r>
      <w:r w:rsidR="006774E1">
        <w:t xml:space="preserve">para </w:t>
      </w:r>
      <w:r>
        <w:t>e</w:t>
      </w:r>
      <w:r w:rsidR="006774E1">
        <w:t>stimar</w:t>
      </w:r>
      <w:r>
        <w:t xml:space="preserve"> su comportamiento mecánico </w:t>
      </w:r>
      <w:r>
        <w:fldChar w:fldCharType="begin" w:fldLock="1"/>
      </w:r>
      <w:r w:rsidR="00E71688">
        <w:instrText>ADDIN CSL_CITATION {"citationItems":[{"id":"ITEM-1","itemData":{"abstract":"The current status of research and development on the structure and properties of nanocrystalline materials is reviewed. Nanocrystalline materials are polycrystalline materials with grain sizes of up to about 100 nm. Because of the extremely small dimensions, a large volume fraction of the atoms is located at the grain boundaries, and this confers special attributes to these materials. Nanocrystalline materials can be prepared by inert gas condensation, mechanical alloying, plasma deposition, spray conversion processing, and many other methods. These are briefly reviewed. A clear picture of the structure of nanocrystalline materials is only now emerging. Whereas the earlier workers had concluded that the structure of grain boundaries in nanocrystalline materials was quite different from that in coarse grained materials, recent studies have shown unambiguously that the structure of the grain boundaries is the same in both nanocrystalline and coarse grained materials. The properties of nanocrystalline materials are very often superior to those of conventional polycrystalline coarse grained materials. Nanocrystalline materials exhibit increased strength/hardness, enhanced diffusivity, improved ductility/toughness, reduced density, reduced elastic modulus, higher electrical resistivity, increased specific heat, higher thermal expansion coefficient, lower thermal conductivity, and superior soft magnetic properties in comparison with conventional coarse grained materials. New concepts of nanocomposites and nanoglasses are also being investigated with special emphasis on ceramic composites to increase their strength and toughness. There appears to be a great potential for applications in the near future for nanocrystalline materials. The extensive investigations in recent years on structure-property correlations in nanocrystalline materials have begun to unravel the complexities of these materials, and pave the way for successful exploitation of alloy design principles to synthesise better materials than hitherto available. IMR/271","author":[{"dropping-particle":"","family":"Suryanarayana","given":"C.","non-dropping-particle":"","parse-names":false,"suffix":""}],"container-title":"International Materials Reviews","id":"ITEM-1","issue":"2","issued":{"date-parts":[["1995"]]},"page":"41-64","title":"Nanocrystalline materials c. Suryanarayana","type":"article-journal","volume":"40"},"uris":["http://www.mendeley.com/documents/?uuid=83255fae-8ac3-4239-8149-8691d76c9589"]}],"mendeley":{"formattedCitation":"[8]","plainTextFormattedCitation":"[8]","previouslyFormattedCitation":"[7]"},"properties":{"noteIndex":0},"schema":"https://github.com/citation-style-language/schema/raw/master/csl-citation.json"}</w:instrText>
      </w:r>
      <w:r>
        <w:fldChar w:fldCharType="separate"/>
      </w:r>
      <w:r w:rsidR="00E71688" w:rsidRPr="00E71688">
        <w:rPr>
          <w:noProof/>
        </w:rPr>
        <w:t>[8]</w:t>
      </w:r>
      <w:r>
        <w:fldChar w:fldCharType="end"/>
      </w:r>
      <w:r>
        <w:t>.</w:t>
      </w:r>
    </w:p>
    <w:p w14:paraId="77F341C1" w14:textId="387FF4AC" w:rsidR="00FE1A8E" w:rsidRPr="0021596F" w:rsidRDefault="00084A57">
      <w:r>
        <w:t xml:space="preserve">Las simulaciones de dinámica molecular han permitido el estudio de las propiedades y comportamiento </w:t>
      </w:r>
      <w:r>
        <w:lastRenderedPageBreak/>
        <w:t xml:space="preserve">mecánico del Aluminio </w:t>
      </w:r>
      <w:r w:rsidR="006774E1">
        <w:t xml:space="preserve">con tamaño de grano ultrafino </w:t>
      </w:r>
      <w:r>
        <w:t>bajo diferentes condiciones</w:t>
      </w:r>
      <w:r w:rsidR="006774E1">
        <w:t xml:space="preserve"> de trabajo</w:t>
      </w:r>
      <w:r>
        <w:t xml:space="preserve">. </w:t>
      </w:r>
      <w:proofErr w:type="spellStart"/>
      <w:r>
        <w:t>Chandra</w:t>
      </w:r>
      <w:proofErr w:type="spellEnd"/>
      <w:r>
        <w:t xml:space="preserve"> et al.</w:t>
      </w:r>
      <w:r>
        <w:fldChar w:fldCharType="begin" w:fldLock="1"/>
      </w:r>
      <w:r w:rsidR="00E71688">
        <w:instrText>ADDIN CSL_CITATION {"citationItems":[{"id":"ITEM-1","itemData":{"DOI":"10.1016/j.commatsci.2016.02.032","ISSN":"09270256","abstract":"Fracture properties of a material are strongly influenced by the presence of defects. In view of this, molecular dynamics simulations were performed within the framework of embedded atom method to investigate the crack tip behavior under mode I loading in FCC Al with and without defects. Defects consisting of a random distribution of vacancies were introduced in the precracked matrix. The results reveal a significant change in the fracture behavior of Al with defects. The interactions between the crack tip and vacancies were found to modify the stress concentrations at the crack tip. Increase in vacancy content lead to increased crack tip blunting and reduced crack propagation speeds as compared to the vacancy-free material, thereby toughening the material to fracture. The significance of such studies towards gaining deeper insights into the fracture behavior at higher scales is highlighted.","author":[{"dropping-particle":"","family":"Chandra","given":"S.","non-dropping-particle":"","parse-names":false,"suffix":""},{"dropping-particle":"","family":"Kumar","given":"N. N.","non-dropping-particle":"","parse-names":false,"suffix":""},{"dropping-particle":"","family":"Samal","given":"M. K.","non-dropping-particle":"","parse-names":false,"suffix":""},{"dropping-particle":"","family":"Chavan","given":"V. M.","non-dropping-particle":"","parse-names":false,"suffix":""},{"dropping-particle":"","family":"Patel","given":"R. J.","non-dropping-particle":"","parse-names":false,"suffix":""}],"container-title":"Computational Materials Science","id":"ITEM-1","issued":{"date-parts":[["2016"]]},"page":"518-526","publisher":"Elsevier B.V.","title":"Molecular dynamics simulations of crack growth behavior in Al in the presence of vacancies","type":"article-journal","volume":"117"},"uris":["http://www.mendeley.com/documents/?uuid=b8e2bafb-3702-49e9-8c04-4860e88a2ee3"]}],"mendeley":{"formattedCitation":"[9]","plainTextFormattedCitation":"[9]","previouslyFormattedCitation":"[8]"},"properties":{"noteIndex":0},"schema":"https://github.com/citation-style-language/schema/raw/master/csl-citation.json"}</w:instrText>
      </w:r>
      <w:r>
        <w:fldChar w:fldCharType="separate"/>
      </w:r>
      <w:r w:rsidR="00E71688" w:rsidRPr="00E71688">
        <w:rPr>
          <w:noProof/>
        </w:rPr>
        <w:t>[9]</w:t>
      </w:r>
      <w:r>
        <w:fldChar w:fldCharType="end"/>
      </w:r>
      <w:r>
        <w:t xml:space="preserve"> estudiaron la propagación de una fisura en un nano cristal de Aluminio sometido a una deformación controlada en modo I. La investigación se realizó en nano cristales con presencia y ausencia de defectos (vacíos </w:t>
      </w:r>
      <w:r w:rsidR="00006025">
        <w:t>atomísticos</w:t>
      </w:r>
      <w:r>
        <w:t xml:space="preserve">) demostrando que la velocidad de propagación es menor en los cristales con mayor concentración de vacíos. </w:t>
      </w:r>
      <w:proofErr w:type="spellStart"/>
      <w:r>
        <w:t>Xu</w:t>
      </w:r>
      <w:proofErr w:type="spellEnd"/>
      <w:r>
        <w:t xml:space="preserve"> et al. </w:t>
      </w:r>
      <w:r>
        <w:fldChar w:fldCharType="begin" w:fldLock="1"/>
      </w:r>
      <w:r w:rsidR="00E71688">
        <w:instrText>ADDIN CSL_CITATION {"citationItems":[{"id":"ITEM-1","itemData":{"DOI":"10.1016/j.msea.2017.10.021","ISSN":"09215093","abstract":"This work carries out comprehensive classical molecular dynamics simulations of uniaxial tensile deformation for nanocrystalline Al samples with a broad range of different mean grain sizes. The largest nanocrystalline Al sample has a mean grain size of about 30 nm and contains over 100 millions atoms in the modeling system. The grain size dependence of yield stress and the atomic fraction of dislocations are quantified and the size dependence tensile nanomechanics are also revealed. Deformation twinning and grain boundary migration are observed as main mechanisms of tensile deformation in the nanocrystalline Al. In particular, the complete Hall-Petch relationship for the nanocrystalline Al bulk is determined for the first time in this study, from which three distinct regions are identified including the normal, inverse, and extended regions in the Hall-Petch relationship. We expect these findings will provide useful insights in the nanomechanics of nanocrystalline Al. The quantitation analyses on dislocations and mechanical properties may facilitate the design and development of high strength nanocrystalline Al and Al based alloys as well as future testing procedures for promising structural and transportation applications.","author":[{"dropping-particle":"","family":"Xu","given":"Wenwu","non-dropping-particle":"","parse-names":false,"suffix":""},{"dropping-particle":"","family":"Dávila","given":"Lilian P.","non-dropping-particle":"","parse-names":false,"suffix":""}],"container-title":"Materials Science and Engineering A","id":"ITEM-1","issue":"October 2017","issued":{"date-parts":[["2018"]]},"page":"413-418","publisher":"Elsevier B.V.","title":"Tensile nanomechanics and the Hall-Petch effect in nanocrystalline aluminium","type":"article-journal","volume":"710"},"uris":["http://www.mendeley.com/documents/?uuid=78ff6bc1-df30-4848-b48d-7f6bf56ec897"]}],"mendeley":{"formattedCitation":"[7]","plainTextFormattedCitation":"[7]","previouslyFormattedCitation":"[6]"},"properties":{"noteIndex":0},"schema":"https://github.com/citation-style-language/schema/raw/master/csl-citation.json"}</w:instrText>
      </w:r>
      <w:r>
        <w:fldChar w:fldCharType="separate"/>
      </w:r>
      <w:r w:rsidR="00E71688" w:rsidRPr="00E71688">
        <w:rPr>
          <w:noProof/>
        </w:rPr>
        <w:t>[7]</w:t>
      </w:r>
      <w:r>
        <w:fldChar w:fldCharType="end"/>
      </w:r>
      <w:r>
        <w:t xml:space="preserve"> estudiaron el efecto del tamaño de grano en el comportamiento mecánico de monocristales y policristales de Aluminio. La investigación mostró como no se cumple la relación de Hall-Petch para tamaños de grano</w:t>
      </w:r>
      <w:r w:rsidR="00761E6C">
        <w:t xml:space="preserve"> entre</w:t>
      </w:r>
      <w:r>
        <w:t xml:space="preserve"> </w:t>
      </w:r>
      <m:oMath>
        <m:r>
          <w:rPr>
            <w:rFonts w:ascii="Cambria Math" w:hAnsi="Cambria Math"/>
          </w:rPr>
          <m:t>10≤d≤20nm</m:t>
        </m:r>
      </m:oMath>
      <w:r>
        <w:rPr>
          <w:rFonts w:eastAsiaTheme="minorEastAsia"/>
        </w:rPr>
        <w:t xml:space="preserve">. Velilla et al. </w:t>
      </w:r>
      <w:r>
        <w:fldChar w:fldCharType="begin" w:fldLock="1"/>
      </w:r>
      <w:r w:rsidR="00E71688">
        <w:instrText>ADDIN CSL_CITATION {"citationItems":[{"id":"ITEM-1","itemData":{"DOI":"10.1016/j.commatsci.2019.05.031","ISSN":"09270256","abstract":"Complex interactions of defects such as dislocations and grain boundaries determine the deformation mechanism of nanocrystalline materials. Using molecular dynamics simulations, in this paper, we study crack propagation under mode I. Single crystals and bicrystals aluminum (Al) with different initial edge crack lengths were loaded until failure under controlled deformation. The effect of the grain boundary on the fracture toughness was analyzed. Tearing was observed and investigated in Al bicrystals. A novel methodology is proposed to estimate the fracture toughness in terms of J for Al single crystals and bicrystals. J was computed by means of three different methods, viz., J Contour Integral, Energy Release Rate, and Crack Tip Opening Displacement. Fracture toughness (JC) for bicrystal was 445% higher than for single crystal. JC for the single crystal was approximately 3 J/m2 and 13 J/m2 for the bicrystal. Comparison between first tearing in Al bicrystals and failure in single crystals was performed. Finally, it was evidenced that for Al bicrystals ductile fracture occurred during final fracture and the grain boundary had a large effect on the mechanical behavior of Al bicrystals.","author":[{"dropping-particle":"","family":"Velilla-Díaz","given":"Wilmer","non-dropping-particle":"","parse-names":false,"suffix":""},{"dropping-particle":"","family":"Pacheco-Sanjuan","given":"Alejandro","non-dropping-particle":"","parse-names":false,"suffix":""},{"dropping-particle":"","family":"Zambrano","given":"Habib R.","non-dropping-particle":"","parse-names":false,"suffix":""}],"container-title":"Computational Materials Science","id":"ITEM-1","issue":"March","issued":{"date-parts":[["2019"]]},"page":"34-41","publisher":"Elsevier","title":"The role of the grain boundary in the fracture toughness of aluminum bicrystal","type":"article-journal","volume":"167"},"uris":["http://www.mendeley.com/documents/?uuid=ec1f6fa8-a3de-4ff4-82d5-e101c0c20a3e"]}],"mendeley":{"formattedCitation":"[10]","plainTextFormattedCitation":"[10]","previouslyFormattedCitation":"[9]"},"properties":{"noteIndex":0},"schema":"https://github.com/citation-style-language/schema/raw/master/csl-citation.json"}</w:instrText>
      </w:r>
      <w:r>
        <w:fldChar w:fldCharType="separate"/>
      </w:r>
      <w:r w:rsidR="00E71688" w:rsidRPr="00E71688">
        <w:rPr>
          <w:rFonts w:eastAsiaTheme="minorEastAsia"/>
          <w:noProof/>
        </w:rPr>
        <w:t>[10]</w:t>
      </w:r>
      <w:r>
        <w:fldChar w:fldCharType="end"/>
      </w:r>
      <w:r>
        <w:rPr>
          <w:rFonts w:eastAsiaTheme="minorEastAsia"/>
        </w:rPr>
        <w:t xml:space="preserve"> estudiaron el efecto de la frontera de grano de la tenacidad a la fractura del Aluminio hallando que esta es 5 veces mayor en bicristales que en monocristales</w:t>
      </w:r>
      <w:r w:rsidR="007751D3">
        <w:rPr>
          <w:rFonts w:eastAsiaTheme="minorEastAsia"/>
        </w:rPr>
        <w:t xml:space="preserve">. </w:t>
      </w:r>
      <w:r>
        <w:rPr>
          <w:rFonts w:eastAsiaTheme="minorEastAsia"/>
        </w:rPr>
        <w:t xml:space="preserve">Por otro lado en </w:t>
      </w:r>
      <w:r>
        <w:fldChar w:fldCharType="begin" w:fldLock="1"/>
      </w:r>
      <w:r w:rsidR="00E71688">
        <w:instrText>ADDIN CSL_CITATION {"citationItems":[{"id":"ITEM-1","itemData":{"author":[{"dropping-particle":"","family":"Velilla-Díaz","given":"Wilmer","non-dropping-particle":"","parse-names":false,"suffix":""},{"dropping-particle":"","family":"Zambrano","given":"Habib R","non-dropping-particle":"","parse-names":false,"suffix":""}],"id":"ITEM-1","issue":"Figure 1","issued":{"date-parts":[["2021"]]},"page":"1-9","title":"Crack Length Effect on the Fracture Behavior of Single-Crystals and Bi-Crystals of Aluminum","type":"article-journal"},"uris":["http://www.mendeley.com/documents/?uuid=cc221087-af1c-4534-a00c-acb36125133d"]}],"mendeley":{"formattedCitation":"[11]","plainTextFormattedCitation":"[11]","previouslyFormattedCitation":"[10]"},"properties":{"noteIndex":0},"schema":"https://github.com/citation-style-language/schema/raw/master/csl-citation.json"}</w:instrText>
      </w:r>
      <w:r>
        <w:fldChar w:fldCharType="separate"/>
      </w:r>
      <w:r w:rsidR="00E71688" w:rsidRPr="00E71688">
        <w:rPr>
          <w:rFonts w:eastAsiaTheme="minorEastAsia"/>
          <w:noProof/>
        </w:rPr>
        <w:t>[11]</w:t>
      </w:r>
      <w:r>
        <w:fldChar w:fldCharType="end"/>
      </w:r>
      <w:r>
        <w:rPr>
          <w:rFonts w:eastAsiaTheme="minorEastAsia"/>
        </w:rPr>
        <w:t xml:space="preserve">, estudiaron el efecto del tamaño de la fisura en la fractura del monocristales y bicristales de Aluminio, encontrando una longitud característica </w:t>
      </w:r>
      <m:oMath>
        <m:sSub>
          <m:sSubPr>
            <m:ctrlPr>
              <w:rPr>
                <w:rFonts w:ascii="Cambria Math" w:hAnsi="Cambria Math"/>
              </w:rPr>
            </m:ctrlPr>
          </m:sSubPr>
          <m:e>
            <m:r>
              <w:rPr>
                <w:rFonts w:ascii="Cambria Math" w:hAnsi="Cambria Math"/>
              </w:rPr>
              <m:t>l</m:t>
            </m:r>
          </m:e>
          <m:sub>
            <m:r>
              <w:rPr>
                <w:rFonts w:ascii="Cambria Math" w:hAnsi="Cambria Math"/>
              </w:rPr>
              <m:t>0</m:t>
            </m:r>
          </m:sub>
        </m:sSub>
      </m:oMath>
      <w:r>
        <w:rPr>
          <w:rFonts w:eastAsiaTheme="minorEastAsia"/>
        </w:rPr>
        <w:t xml:space="preserve"> en la que disminuye la tenacidad a la fractura y que la frontera de grano en el bicristal resulta beneficiosa para la resistencia a la fractura del material.</w:t>
      </w:r>
    </w:p>
    <w:p w14:paraId="4A2E9215" w14:textId="73AF6BFB" w:rsidR="00FE1A8E" w:rsidRPr="0021596F" w:rsidRDefault="00084A57">
      <w:r>
        <w:t xml:space="preserve">Como se </w:t>
      </w:r>
      <w:r w:rsidR="00761E6C">
        <w:t>citó</w:t>
      </w:r>
      <w:r>
        <w:t xml:space="preserve"> anteriormente, múltiples investigadores han estudiado el comportamiento de materiales y en particular del aluminio a través de simulaciones de dinámica molecular. Este método describe de forma correcta fenómenos como son la nucleación de defectos, la propagación de fisuras, vacíos atómicos y demás mecanismos de falla </w:t>
      </w:r>
      <w:r w:rsidR="00646356">
        <w:t>en</w:t>
      </w:r>
      <w:r>
        <w:t xml:space="preserve"> escala nanométrica. Sin embargo, la dinámica molecular no permite simular problemas macroscópicos propios de la mecánica del medio continúo debido a la demanda </w:t>
      </w:r>
      <w:r w:rsidR="00646356">
        <w:t>en</w:t>
      </w:r>
      <w:r>
        <w:t xml:space="preserve"> recurso computacional por la cantidad de grados de libertad y las ineficiencias computacionales. A diferencia de este, el método de elementos finitos (MEF) permite calcular los campos de desplazamiento</w:t>
      </w:r>
      <w:r w:rsidR="00646356">
        <w:t>s</w:t>
      </w:r>
      <w:r>
        <w:t>, tensores de esfuerzo</w:t>
      </w:r>
      <w:r w:rsidR="00646356">
        <w:t>s</w:t>
      </w:r>
      <w:r>
        <w:t xml:space="preserve"> y comportamiento del material a través de modelos constitutivos del medio continuo en escala macroscópica. No obstante, defectos y fenómenos no lineales configuran un problema difícil de abordar para este método </w:t>
      </w:r>
      <w:r>
        <w:fldChar w:fldCharType="begin" w:fldLock="1"/>
      </w:r>
      <w:r w:rsidR="00E71688">
        <w:instrText>ADDIN CSL_CITATION {"citationItems":[{"id":"ITEM-1","itemData":{"DOI":"10.1016/j.cma.2003.12.008","ISBN":"1847491391","ISSN":"00457825","abstract":"Many arenas of research are rapidly advancing due to a combined effort between engineering and science. In some cases, fields of research that were stagnating under the exclusive domain of one discipline have been imbued with new discoveries through collaboration with practitioners from the second discipline. In computational mechanics, we are particularly concerned about the technological engineering interest by combining engineering technology and basic sciences through modeling and simulations. These goals have become particularly relevant due to the emergence of the field of nanotechnology, and the related burst of interest in nanoscale research. In this introductory article, we first briefly review the essential tools used by nanoscale researchers. These simulation methods include the broad areas of quantum mechanics, molecular dynamics and multiple-scale approaches, based on coupling the atomistic and continuum models. Upon completing this review, we shall conclusively demonstrate that the atomistic simulation tools themselves are not sufficient for many of the interesting and fundamental problems that arise in computational mechanics, and that these deficiencies lead to the thrust of multiple-scale methods. We summarize the strengths and limitations of currently available multiple-scale techniques, where the emphasis is made on the latest perspective approaches, such as the bridging scale method, multi-scale boundary conditions, and multi-scale fluidics. Example problems, in which multiple-scale simulation methods yield equivalent results to full atomistic simulations at fractions of the computational cost, are shown. We conclude by discussing future research directions and needs in multiple-scale analysis, and also discuss the ramifications of the integration of current nanoscale research into education. © 2004 Elsevier B.V. All rights reserved.","author":[{"dropping-particle":"","family":"Liu","given":"W. K.","non-dropping-particle":"","parse-names":false,"suffix":""},{"dropping-particle":"","family":"Karpov","given":"E. G.","non-dropping-particle":"","parse-names":false,"suffix":""},{"dropping-particle":"","family":"Zhang","given":"S.","non-dropping-particle":"","parse-names":false,"suffix":""},{"dropping-particle":"","family":"Park","given":"H. S.","non-dropping-particle":"","parse-names":false,"suffix":""}],"container-title":"Computer Methods in Applied Mechanics and Engineering","id":"ITEM-1","issue":"17-20","issued":{"date-parts":[["2004"]]},"number-of-pages":"1529-1578","title":"An introduction to computational nanomechanics and materials","type":"book","volume":"193"},"uris":["http://www.mendeley.com/documents/?uuid=1b771e2b-899d-485c-b30c-2fa0bf4664d5"]}],"mendeley":{"formattedCitation":"[12]","plainTextFormattedCitation":"[12]","previouslyFormattedCitation":"[11]"},"properties":{"noteIndex":0},"schema":"https://github.com/citation-style-language/schema/raw/master/csl-citation.json"}</w:instrText>
      </w:r>
      <w:r>
        <w:fldChar w:fldCharType="separate"/>
      </w:r>
      <w:r w:rsidR="00E71688" w:rsidRPr="00E71688">
        <w:rPr>
          <w:noProof/>
        </w:rPr>
        <w:t>[12]</w:t>
      </w:r>
      <w:r>
        <w:fldChar w:fldCharType="end"/>
      </w:r>
      <w:r>
        <w:t xml:space="preserve">. Luego de reconocer las limitaciones y bondades de estos dos poderosos métodos, investigadores han desarrollado diferentes técnicas que combinan las simulaciones de MD y las de elementos finitos (EF) en una </w:t>
      </w:r>
      <w:r>
        <w:fldChar w:fldCharType="begin" w:fldLock="1"/>
      </w:r>
      <w:r w:rsidR="00E71688">
        <w:instrText>ADDIN CSL_CITATION {"citationItems":[{"id":"ITEM-1","itemData":{"DOI":"10.1016/j.cma.2003.12.054","ISSN":"00457825","abstract":"Concurrent multiple-scale methods can be defined as those which combine information available from distinct length and time scales into a single coherent, coupled simulation. These methods have recently become both popular and necessary for the following reasons. One is the recent discovery of new, nanoscale materials, and the corresponding boom in nanotechnology research. Another factor is that experiments have conclusively shown the connection between microscale physics and macroscale deformation. Finally, the concept of linking disparate length and time scales has become feasible recently due to the ongoing explosion in computational power. We present a detailed introduction to the available technologies in the field of multiple-scale analysis. In particular, our review centers on methods which aim to couple molecular-level simulations (such as molecular dynamics) to continuum level simulations (such as finite element and meshfree methods). Using this definition, we first review existing multiple-scale technology, and explain the pertinent issues in creating an efficient yet accurate multiple-scale method. Following the review, we highlight a new multiple-scale method, the bridging scale, and compare it to existing multiple-scale methods. Next, we show example problems in which the bridging scale is applied to fully non-linear problems. Concluding remarks address the research needs for multiple-scale methods in general, the bridging scale method in particular, and potential applications for the bridging scale. © 2004 Elsevier B.V. All rights reserved.","author":[{"dropping-particle":"","family":"Park","given":"Harold S.","non-dropping-particle":"","parse-names":false,"suffix":""},{"dropping-particle":"","family":"Liu","given":"Wing Kam","non-dropping-particle":"","parse-names":false,"suffix":""}],"container-title":"Computer Methods in Applied Mechanics and Engineering","id":"ITEM-1","issue":"17-20","issued":{"date-parts":[["2004"]]},"page":"1733-1772","title":"An introduction and tutorial on multiple-scale analysis in solids","type":"article-journal","volume":"193"},"uris":["http://www.mendeley.com/documents/?uuid=aa26c75c-1895-4a8b-a1a3-3913dbf7d0db"]},{"id":"ITEM-2","itemData":{"abstract":"Head and neck cancer represent 5% of all cancer and is often diagnosed at advanced stage. Treatment requires a multidisciplinary approach and relies on surgery, radiotherapy and/or chemotherapy. In locally advanced disease, chemotherapy has been shown to improve survival, particularly when delivered concomitantly with radiotherapy (6.5% absolute benefit in overall survival. Although induction or neoadjuvant chemotherapy has been much studied, no clear benefit has been identified but for larynx preservation. New chemotherapy regimens with adjonction of taxanes have drawn attention again on induction chemotherapy. Several randomised controlled trials have demonstrated improved response rate, disease free survival, or overall survival when docetaxel is added to cisplatin and 5 FU as induction chemotherapy. A definitive proof of the benefit of the induction approach is still lacking. To date, induction chemotherapy can only be recommended with the aim of preserving laryngeal function. Ongoing trials are expected to validate or rule out the induction strategy as a standard approach in locally advanced head and neck cancer.","author":[{"dropping-particle":"","family":"Curtin","given":"W A","non-dropping-particle":"","parse-names":false,"suffix":""},{"dropping-particle":"","family":"Miller","given":"Ronald E","non-dropping-particle":"","parse-names":false,"suffix":""}],"container-title":"Modelling and Simulation in Materials Science and Engineering","id":"ITEM-2","issued":{"date-parts":[["2003"]]},"page":"R33","title":"Atomistic / continuum coupling in computational","type":"article-journal","volume":"11"},"uris":["http://www.mendeley.com/documents/?uuid=4b6ccdfb-21e9-438f-a68f-655cd972c341"]},{"id":"ITEM-3","itemData":{"DOI":"10.1016/j.jmps.2003.09.023","ISSN":"00225096","abstract":"A computational method (CADD) is presented whereby a continuum region containing dislocation defects is coupled to a fully atomistic region. The model is related to previous hybrid models in which continuum finite elements are coupled to a fully atomistic region, with two key advantages: the ability to accomodate discrete dislocations in the continuum region and an algorithm for automatically detecting dislocations as they move from the atomistic region to the continuum region and then correctly \"converting\" the atomistic dislocations into discrete dislocations, or vice-versa. The resulting CADD model allows for the study of 2d problems involving large numbers of defects where the system size is too big for fully atomistic simulation, and improves upon existing discrete dislocation techniques by preserving accurate atomistic details of dislocation nucleation and other atomic scale phenomena. Applications to nanoindentation, atomic scale void growth under tensile stress, and fracture are used to validate and demonstrate the capabilities of the model. © 2003 Elsevier Ltd. All rights reserved.","author":[{"dropping-particle":"","family":"Shilkrot","given":"L. E.","non-dropping-particle":"","parse-names":false,"suffix":""},{"dropping-particle":"","family":"Miller","given":"Ronald E.","non-dropping-particle":"","parse-names":false,"suffix":""},{"dropping-particle":"","family":"Curtin","given":"William A.","non-dropping-particle":"","parse-names":false,"suffix":""}],"container-title":"Journal of the Mechanics and Physics of Solids","id":"ITEM-3","issue":"4","issued":{"date-parts":[["2004"]]},"page":"755-787","title":"Multiscale plasticity modeling: Coupled atomistics and discrete dislocation mechanics","type":"article-journal","volume":"52"},"uris":["http://www.mendeley.com/documents/?uuid=dee3c0c0-305a-47de-9c6b-4c372cda18d1"]}],"mendeley":{"formattedCitation":"[13]–[15]","plainTextFormattedCitation":"[13]–[15]","previouslyFormattedCitation":"[12]–[14]"},"properties":{"noteIndex":0},"schema":"https://github.com/citation-style-language/schema/raw/master/csl-citation.json"}</w:instrText>
      </w:r>
      <w:r>
        <w:fldChar w:fldCharType="separate"/>
      </w:r>
      <w:r w:rsidR="00E71688" w:rsidRPr="00E71688">
        <w:rPr>
          <w:noProof/>
        </w:rPr>
        <w:t>[13]–[15]</w:t>
      </w:r>
      <w:r>
        <w:fldChar w:fldCharType="end"/>
      </w:r>
      <w:r>
        <w:t xml:space="preserve">. El método </w:t>
      </w:r>
      <w:proofErr w:type="spellStart"/>
      <w:r>
        <w:t>cuasi-continúo</w:t>
      </w:r>
      <w:proofErr w:type="spellEnd"/>
      <w:r>
        <w:t xml:space="preserve"> propuesto por Tadmor </w:t>
      </w:r>
      <w:proofErr w:type="spellStart"/>
      <w:r>
        <w:t>ed</w:t>
      </w:r>
      <w:proofErr w:type="spellEnd"/>
      <w:r>
        <w:t xml:space="preserve"> al. </w:t>
      </w:r>
      <w:r>
        <w:fldChar w:fldCharType="begin" w:fldLock="1"/>
      </w:r>
      <w:r w:rsidR="00E71688">
        <w:instrText>ADDIN CSL_CITATION {"citationItems":[{"id":"ITEM-1","itemData":{"DOI":"10.1088/0965-0393/6/5/008","ISSN":"09650393","abstract":"We study the problem of atomic scale fracture using the recently developed quasicontinuum method in which there is a systematic thinning of the atomic-level degrees of freedom in regions where they are not needed. Fracture is considered in two distinct settings. First, a study is made of cracks in single crystals, and second, we consider a crack advancing towards a grain boundary (GB) in its path. In the investigation of single crystal fracture, we evaluate the competition between simple cleavage and crack-tip dislocation emission. In addition, we examine the ability of analytic models to correctly predict fracture behaviour, and find that the existing analytical treatments are too restrictive in their treatment of nonlinearity near the crack tip. In the study of GB-crack interactions, we have found a number of interesting deformation mechanisms which attend the advance of the crack. These include the migration of the GB, the emission of dislocations from the GB, and deflection of the crack front along the GB itself. In each case, these mechanisms are rationalized on the basis of continuum mechanics arguments. © 1998 IOP Publishing Ltd.","author":[{"dropping-particle":"","family":"Miller","given":"R.","non-dropping-particle":"","parse-names":false,"suffix":""},{"dropping-particle":"","family":"Tadmor","given":"E. B.","non-dropping-particle":"","parse-names":false,"suffix":""},{"dropping-particle":"","family":"Phillips","given":"R.","non-dropping-particle":"","parse-names":false,"suffix":""},{"dropping-particle":"","family":"Ortiz","given":"M.","non-dropping-particle":"","parse-names":false,"suffix":""}],"container-title":"Modelling and Simulation in Materials Science and Engineering","id":"ITEM-1","issue":"5","issued":{"date-parts":[["1998"]]},"page":"607-638","title":"Quasicontinuum simulation of fracture at the atomic scale","type":"article-journal","volume":"6"},"uris":["http://www.mendeley.com/documents/?uuid=8a0181e9-3cbf-4c7e-b8db-ec8b2df3e1d8"]}],"mendeley":{"formattedCitation":"[16]","plainTextFormattedCitation":"[16]","previouslyFormattedCitation":"[15]"},"properties":{"noteIndex":0},"schema":"https://github.com/citation-style-language/schema/raw/master/csl-citation.json"}</w:instrText>
      </w:r>
      <w:r>
        <w:fldChar w:fldCharType="separate"/>
      </w:r>
      <w:r w:rsidR="00E71688" w:rsidRPr="00E71688">
        <w:rPr>
          <w:noProof/>
        </w:rPr>
        <w:t>[16]</w:t>
      </w:r>
      <w:r>
        <w:fldChar w:fldCharType="end"/>
      </w:r>
      <w:r>
        <w:t xml:space="preserve"> es uno de los métodos multiescala más influyentes. Este método combina EF con un refinamiento de malla </w:t>
      </w:r>
      <w:r w:rsidR="00646356">
        <w:t>zonificado</w:t>
      </w:r>
      <w:r>
        <w:t xml:space="preserve"> para los puntos dónde están los defectos y que incorpora las interacciones atómicas basadas en el cálculo de campos de deformación local en los cristales del material. El método </w:t>
      </w:r>
      <w:proofErr w:type="spellStart"/>
      <w:r>
        <w:t>cuasi-contin</w:t>
      </w:r>
      <w:r w:rsidR="004B2653">
        <w:t>ú</w:t>
      </w:r>
      <w:r>
        <w:t>o</w:t>
      </w:r>
      <w:proofErr w:type="spellEnd"/>
      <w:r>
        <w:t xml:space="preserve"> ha sido usado en el estudio de defectos como dislocaciones </w:t>
      </w:r>
      <w:r>
        <w:fldChar w:fldCharType="begin" w:fldLock="1"/>
      </w:r>
      <w:r w:rsidR="00E71688">
        <w:instrText>ADDIN CSL_CITATION {"citationItems":[{"id":"ITEM-1","itemData":{"DOI":"10.1051/jp4:2001503","ISSN":"11554339","abstract":"The structure and strength of three-dimensional Lomer-Cottrell junctions are studied using four different models. These models represent increasing levels of sophistication, with each case including some new physical effect. The line tension approximation makes use only of the elastic self energy of the dislocation lines. The edge-screw dislocation dynamics model increases the sophistication by including the elastic interactions between all of the dislocation segments. At the next level of sophistication, the nodal dislocation dynamics method accounts for the dissociation of the core into partial dislocations. Finally, the quasicontinuum method takes into account the core effects at the atomic level. The results show that although the line tension model represents a huge simplification of the physics of dislocations, it is able to reproduce the equilibrium structure of any type of Lomer-Cottrell interaction, both in the absence and presence of an externally applied stress. The pseudo-analytical description can thus be used as a bench mark for the development of dislocation dynamics simulations.","author":[{"dropping-particle":"","family":"Shin","given":"C. S.","non-dropping-particle":"","parse-names":false,"suffix":""},{"dropping-particle":"","family":"Fivel","given":"M. C.","non-dropping-particle":"","parse-names":false,"suffix":""},{"dropping-particle":"","family":"Rodney","given":"D.","non-dropping-particle":"","parse-names":false,"suffix":""},{"dropping-particle":"","family":"Phillips","given":"R.","non-dropping-particle":"","parse-names":false,"suffix":""},{"dropping-particle":"","family":"Shenoy","given":"V. B.","non-dropping-particle":"","parse-names":false,"suffix":""},{"dropping-particle":"","family":"Dupuy","given":"L.","non-dropping-particle":"","parse-names":false,"suffix":""}],"container-title":"Journal De Physique. IV : JP","id":"ITEM-1","issue":"5","issued":{"date-parts":[["2001"]]},"title":"Formation and strength of dislocation junctions in FCC metals: A study by dislocation dynamics and atomistic simulations","type":"article-journal","volume":"11"},"uris":["http://www.mendeley.com/documents/?uuid=b1018956-54dd-4a1f-b611-d09b97f850fd"]}],"mendeley":{"formattedCitation":"[17]","plainTextFormattedCitation":"[17]","previouslyFormattedCitation":"[16]"},"properties":{"noteIndex":0},"schema":"https://github.com/citation-style-language/schema/raw/master/csl-citation.json"}</w:instrText>
      </w:r>
      <w:r>
        <w:fldChar w:fldCharType="separate"/>
      </w:r>
      <w:r w:rsidR="00E71688" w:rsidRPr="00E71688">
        <w:rPr>
          <w:noProof/>
        </w:rPr>
        <w:t>[17]</w:t>
      </w:r>
      <w:r>
        <w:fldChar w:fldCharType="end"/>
      </w:r>
      <w:r>
        <w:t xml:space="preserve">, el efecto de la rugosidad superficial en la nanoindentación y la profundidad crítica para la emisión de dislocaciones </w:t>
      </w:r>
      <w:r>
        <w:fldChar w:fldCharType="begin" w:fldLock="1"/>
      </w:r>
      <w:r w:rsidR="00E71688">
        <w:instrText>ADDIN CSL_CITATION {"citationItems":[{"id":"ITEM-1","itemData":{"DOI":"10.1007/s11012-019-00956-x","ISBN":"0123456789","ISSN":"15729648","abstract":"Roughness of surface has as an important influence on identifying the mechanical behavior and performance of crystalline metals. In this study, nanoindentation simulations are conducted by the two dimensional quasicontinuum method to determine the load–penetration response and the critical load associated with the onset of plasticity in rough surfaces of a face-centered cubic single crystal copper. The arithmetic roughness index, ranging between 2 and 13 Å, is used to specify the roughness of surface. Results of indentation with different roughnesses are in good agreement with previous studies for the indenter size of 10–140 Å. The resultant load–penetration scattering, which stems from the roughness, indicates different dislocation nucleation steps, different subsequent dislocations intervals and varying stiffness values of samples. It can be concluded that the surface roughness has a significant effect on the first dislocation emission because of the indenter position and surface interactions beneath it. Moreover, the critical penetration depth for the first dislocation emission increases by the increase of the contact area between the indenter and surface.","author":[{"dropping-particle":"","family":"Moslemzadeh","given":"Hesam","non-dropping-particle":"","parse-names":false,"suffix":""},{"dropping-particle":"","family":"Alizadeh","given":"Omid","non-dropping-particle":"","parse-names":false,"suffix":""},{"dropping-particle":"","family":"Mohammadi","given":"Soheil","non-dropping-particle":"","parse-names":false,"suffix":""}],"container-title":"Meccanica","id":"ITEM-1","issue":"3","issued":{"date-parts":[["2019"]]},"page":"411-427","publisher":"Springer Netherlands","title":"Quasicontinuum multiscale modeling of the effect of rough surface on nanoindentation behavior","type":"article-journal","volume":"54"},"uris":["http://www.mendeley.com/documents/?uuid=7b37909f-ebb7-4164-871c-f47f7ccca770"]}],"mendeley":{"formattedCitation":"[18]","plainTextFormattedCitation":"[18]","previouslyFormattedCitation":"[17]"},"properties":{"noteIndex":0},"schema":"https://github.com/citation-style-language/schema/raw/master/csl-citation.json"}</w:instrText>
      </w:r>
      <w:r>
        <w:fldChar w:fldCharType="separate"/>
      </w:r>
      <w:r w:rsidR="00E71688" w:rsidRPr="00E71688">
        <w:rPr>
          <w:noProof/>
        </w:rPr>
        <w:t>[18]</w:t>
      </w:r>
      <w:r>
        <w:fldChar w:fldCharType="end"/>
      </w:r>
      <w:r>
        <w:t xml:space="preserve"> o en problemas de fractura con cargas cíclicas </w:t>
      </w:r>
      <w:r>
        <w:fldChar w:fldCharType="begin" w:fldLock="1"/>
      </w:r>
      <w:r w:rsidR="00E71688">
        <w:instrText>ADDIN CSL_CITATION {"citationItems":[{"id":"ITEM-1","itemData":{"DOI":"10.3762/bjnano.9.93","ISSN":"21904286","abstract":"A quasi-continuum (QC) method based on the embedded atom method (EAM) potential was employed to investigate the fatigue crack growth and expansion characteristics of single-crystal Fe and Ni under cyclic loading modes I and II. In particular, the crack growth and expansion characteristics of Fe and Ni under cyclic loading were evaluated in terms of atomic stress fields and force-distance curves. The simulation results indicated that under cyclic loading, the initially damaged area of the crack will coalesce again after compression or shear to the initial geometry leading to a strengthening of the material. If no coalescence appears, the crack spreads rapidly and the material breaks. Moreover, under the cyclic loading of shear at any orientation, the slip dislocation observed in the materials considerably affects the release of stress.","author":[{"dropping-particle":"","family":"Qiu","given":"Ren Zheng","non-dropping-particle":"","parse-names":false,"suffix":""},{"dropping-particle":"","family":"Lin","given":"Yi Chen","non-dropping-particle":"","parse-names":false,"suffix":""},{"dropping-particle":"","family":"Fang","given":"Te Hua","non-dropping-particle":"","parse-names":false,"suffix":""}],"container-title":"Beilstein Journal of Nanotechnology","id":"ITEM-1","issue":"1","issued":{"date-parts":[["2018"]]},"page":"1000-1014","title":"Fatigue crack growth characteristics of Fe and Ni under cyclic loading using a quasi-continuum method","type":"article-journal","volume":"9"},"uris":["http://www.mendeley.com/documents/?uuid=2c818446-e1b9-4b96-a001-f238e2226f97"]}],"mendeley":{"formattedCitation":"[19]","plainTextFormattedCitation":"[19]","previouslyFormattedCitation":"[18]"},"properties":{"noteIndex":0},"schema":"https://github.com/citation-style-language/schema/raw/master/csl-citation.json"}</w:instrText>
      </w:r>
      <w:r>
        <w:fldChar w:fldCharType="separate"/>
      </w:r>
      <w:r w:rsidR="00E71688" w:rsidRPr="00E71688">
        <w:rPr>
          <w:noProof/>
        </w:rPr>
        <w:t>[19]</w:t>
      </w:r>
      <w:r>
        <w:fldChar w:fldCharType="end"/>
      </w:r>
      <w:r>
        <w:t xml:space="preserve">. Por su parte, Saether </w:t>
      </w:r>
      <w:r>
        <w:t xml:space="preserve">et al. </w:t>
      </w:r>
      <w:r>
        <w:fldChar w:fldCharType="begin" w:fldLock="1"/>
      </w:r>
      <w:r w:rsidR="00E71688">
        <w:instrText>ADDIN CSL_CITATION {"citationItems":[{"id":"ITEM-1","itemData":{"DOI":"10.1002/nme","abstract":"The coupling of molecular dynamics (MD) simulations with finite element methods (FEM) yields compu- tationally efficient models that link fundamental material processes at the atomistic level with continuum field responses at higher length scales. The theoretical challenge involves developing a seamless connection along an interface between two inherently different simulation frameworks. Various specialized methods have been developed to solve particular classes of problems. Many of these methods link the kinematics of individual MD atoms with finite element (FE) nodes at their common interface, necessarily requiring that the FE mesh be refined to atomic resolution. Some of these coupling approaches also require simulations to be carried out at 0K and restrict modelling to two-dimensional material domains due to difficulties in simulating full three-dimensional material processes. In the present work, a new approach to MD–FEM coupling is developed based on a restatement of the standard boundary value problem used to define a coupled domain. The method replaces a direct linkage of individual MD atoms and FE nodes with a statistical averaging of atomistic displacements in local atomic volumes associated with each FE node in an interface region. The FEM and MD computational systems are effectively independent and communi- cate only through an iterative update of their boundary conditions. Thus, the method lends itself for use with any FEM or MD code. With the use of statistical averages of the atomistic quantities to couple the two computational schemes, the developed approach is referred to as an embedded statistical coupling method (ESCM). ESCM provides an enhanced coupling methodology that is inherently applicable to three-dimensional domains, avoids discretization of the continuum model to atomic scale resolution, and permits finite temperature states to be applied.","author":[{"dropping-particle":"","family":"Saether","given":"E","non-dropping-particle":"","parse-names":false,"suffix":""},{"dropping-particle":"","family":"Yamakov","given":"V","non-dropping-particle":"","parse-names":false,"suffix":""},{"dropping-particle":"","family":"Glaessgen","given":"E. H.","non-dropping-particle":"","parse-names":false,"suffix":""}],"container-title":"INTERNATIONAL JOURNAL FOR NUMERICAL METHODS IN ENGINEERING","id":"ITEM-1","issue":"January","issued":{"date-parts":[["2009"]]},"page":"1292-1319","title":"An embedded statistical method for coupling molecular dynamics and finite element analyses","type":"article-journal"},"uris":["http://www.mendeley.com/documents/?uuid=01b2752b-fede-4b0e-ba20-05a1f6dc78a5"]}],"mendeley":{"formattedCitation":"[20]","plainTextFormattedCitation":"[20]","previouslyFormattedCitation":"[19]"},"properties":{"noteIndex":0},"schema":"https://github.com/citation-style-language/schema/raw/master/csl-citation.json"}</w:instrText>
      </w:r>
      <w:r>
        <w:fldChar w:fldCharType="separate"/>
      </w:r>
      <w:r w:rsidR="00E71688" w:rsidRPr="00E71688">
        <w:rPr>
          <w:noProof/>
        </w:rPr>
        <w:t>[20]</w:t>
      </w:r>
      <w:r>
        <w:fldChar w:fldCharType="end"/>
      </w:r>
      <w:r>
        <w:t xml:space="preserve"> plantearon el método de acoplamiento estadístico embebido (ESCM) por sus siglas en ingles. </w:t>
      </w:r>
    </w:p>
    <w:p w14:paraId="77A70AF7" w14:textId="4110403D" w:rsidR="00FE1A8E" w:rsidRPr="0021596F" w:rsidRDefault="00084A57">
      <w:r>
        <w:t xml:space="preserve">Este método permitió el acoplamiento de los subdominios atomístico y del continuo a través de un promedio estadístico de los desplazamientos atómicos y asociarlos a cada nodo en la región de interfaz, evitando el refinamiento del mallado hasta la escala atómica y la necesidad de condiciones de temperatura a 0 Kelvin. El método ESCM ha sido usado en investigaciones sobre la nucleación de dislocaciones en la punta de fisura de un nano-cristal de Aluminio teniendo en cuenta diferentes orientaciones cristalográficas y un amplio rango de temperatura </w:t>
      </w:r>
      <w:r>
        <w:fldChar w:fldCharType="begin" w:fldLock="1"/>
      </w:r>
      <w:r w:rsidR="00E71688">
        <w:instrText>ADDIN CSL_CITATION {"citationItems":[{"id":"ITEM-1","itemData":{"DOI":"10.1016/j.jmps.2013.12.009","ISSN":"00225096","abstract":"This work investigates the dislocation nucleation processes that occur at the tip of a crack in aluminum under a broad range of crystallographic orientations and temperatures. A concurrent multiscale molecular dynamics - continuum simulation framework is employed. The results are then interpreted using a Peierls continuum model that uses finite temperature material properties derived from molecular dynamics simulation. Under ramped loading, partial dislocation nucleation at the crack tip is found to lead to both full dislocation emission and twinning, depending upon the orientation, temperature, and magnitude of the applied load in the simulation. The origins of the dependencies are made apparent by the Peierls continuum model. The continuum model suggests that in many instances dislocation nucleation from the crack tip can be considered to be a strain rate independent process, yet still temperature dependent through the temperature dependence of the stacking fault energies and elastic constants. © 2013 Elsevier Ltd.","author":[{"dropping-particle":"","family":"Yamakov","given":"V. I.","non-dropping-particle":"","parse-names":false,"suffix":""},{"dropping-particle":"","family":"Warner","given":"D. H.","non-dropping-particle":"","parse-names":false,"suffix":""},{"dropping-particle":"","family":"Zamora","given":"R. J.","non-dropping-particle":"","parse-names":false,"suffix":""},{"dropping-particle":"","family":"Saether","given":"E.","non-dropping-particle":"","parse-names":false,"suffix":""},{"dropping-particle":"","family":"Curtin","given":"W. A.","non-dropping-particle":"","parse-names":false,"suffix":""},{"dropping-particle":"","family":"Glaessgen","given":"E. H.","non-dropping-particle":"","parse-names":false,"suffix":""}],"container-title":"Journal of the Mechanics and Physics of Solids","id":"ITEM-1","issue":"1","issued":{"date-parts":[["2014"]]},"page":"35-53","publisher":"Elsevier","title":"Investigation of crack tip dislocation emission in aluminum using multiscale molecular dynamics simulation and continuum modeling","type":"article-journal","volume":"65"},"uris":["http://www.mendeley.com/documents/?uuid=fc9961ef-390e-4d96-a1c6-e2ba05d048bf"]}],"mendeley":{"formattedCitation":"[21]","plainTextFormattedCitation":"[21]","previouslyFormattedCitation":"[20]"},"properties":{"noteIndex":0},"schema":"https://github.com/citation-style-language/schema/raw/master/csl-citation.json"}</w:instrText>
      </w:r>
      <w:r>
        <w:fldChar w:fldCharType="separate"/>
      </w:r>
      <w:r w:rsidR="00E71688" w:rsidRPr="00E71688">
        <w:rPr>
          <w:noProof/>
        </w:rPr>
        <w:t>[21]</w:t>
      </w:r>
      <w:r>
        <w:fldChar w:fldCharType="end"/>
      </w:r>
      <w:r>
        <w:t xml:space="preserve">. Otro método novedoso propuesto por Chen et al </w:t>
      </w:r>
      <w:r>
        <w:fldChar w:fldCharType="begin" w:fldLock="1"/>
      </w:r>
      <w:r w:rsidR="00E71688">
        <w:instrText>ADDIN CSL_CITATION {"citationItems":[{"id":"ITEM-1","itemData":{"DOI":"10.1063/1.5099653","ISSN":"10897550","abstract":"In this work, we present a concurrent atomistic-continuum (CAC) method for modeling and simulation of crystalline materials. The CAC formulation extends the Irving-Kirkwood procedure for deriving transport equations and fluxes for homogenized molecular systems to that for polyatomic crystalline materials by employing a concurrent two-level description of the structure and dynamics of crystals. A multiscale representation of conservation laws is formulated, as a direct consequence of Newton's second law, in terms of instantaneous expressions of unit cell-averaged quantities using the mathematical theory of distributions. Finite element (FE) solutions to the conservation equations, as well as fluxes and temperature in the FE representation, are introduced, followed by numerical examples of the atomic-scale structure of interfaces, dynamics of fracture and dislocations, and phonon thermal transport across grain boundaries. In addition to providing a methodology for concurrent multiscale simulation of transport processes under a single theoretical framework, the CAC formulation can also be used to compute fluxes (stress and heat flux) in atomistic and coarse-grained atomistic simulations.","author":[{"dropping-particle":"","family":"Chen","given":"Youping","non-dropping-particle":"","parse-names":false,"suffix":""},{"dropping-particle":"","family":"Shabanov","given":"Sergei","non-dropping-particle":"","parse-names":false,"suffix":""},{"dropping-particle":"","family":"McDowell","given":"David L.","non-dropping-particle":"","parse-names":false,"suffix":""}],"container-title":"Journal of Applied Physics","id":"ITEM-1","issue":"10","issued":{"date-parts":[["2019"]]},"publisher":"AIP Publishing LLC","title":"Concurrent atomistic-continuum modeling of crystalline materials","type":"article-journal","volume":"126"},"uris":["http://www.mendeley.com/documents/?uuid=94e7899e-9068-4a2e-b053-c2bf08a31a2a"]}],"mendeley":{"formattedCitation":"[22]","plainTextFormattedCitation":"[22]","previouslyFormattedCitation":"[21]"},"properties":{"noteIndex":0},"schema":"https://github.com/citation-style-language/schema/raw/master/csl-citation.json"}</w:instrText>
      </w:r>
      <w:r>
        <w:fldChar w:fldCharType="separate"/>
      </w:r>
      <w:r w:rsidR="00E71688" w:rsidRPr="00E71688">
        <w:rPr>
          <w:noProof/>
        </w:rPr>
        <w:t>[22]</w:t>
      </w:r>
      <w:r>
        <w:fldChar w:fldCharType="end"/>
      </w:r>
      <w:r>
        <w:t xml:space="preserve"> es el de acoplamiento concurrente atomístico al continúo (CAC) por sus siglas en ingles. Este método combina una representación del campo continuo con información completamente atomística desde su formulación y el método de elementos finitos modificado que emplea celdas primitivas tridimensionales. El método CAC ha sido implementado para estudiar el efecto de la frontera de grano y su interacción con otros defectos en materiales </w:t>
      </w:r>
      <w:r w:rsidR="00A51CB2">
        <w:t xml:space="preserve">de enlaces </w:t>
      </w:r>
      <w:r>
        <w:t xml:space="preserve">iónicos como es el titanato de estroncio </w:t>
      </w:r>
      <w:r>
        <w:fldChar w:fldCharType="begin" w:fldLock="1"/>
      </w:r>
      <w:r w:rsidR="00E71688">
        <w:instrText>ADDIN CSL_CITATION {"citationItems":[{"id":"ITEM-1","itemData":{"DOI":"10.1098/rspa.2014.0758","ISSN":"14712946","abstract":"In this paper, we present the development of a concurrent atomistic-continuum (CAC) methodology for simulation of the grain boundary (GB) structures and their interaction with other defects in ionic materials. Simulation results show that the CAC simulation allows a smooth passage of cracks through the atomistic-continuum interface without the need for additional constitutive rules or special numerical treatment; both the atomic-scale structures and the energies of the four different [001] tilt GBs in bicrystal strontium titanate obtained by CAC compare well with those obtained by existing experiments and density function theory calculations. Although 98.4% of the degrees of freedom of the simulated atomistic system have been eliminated in a coarsely meshed finite-element region, the CAC results, including the stress-strain responses, the GB-crack interaction mechanisms and the effect of the interaction on the fracture strength, are comparable with that of all-atom molecular dynamics simulation results. In addition, CAC simulation results show that the GB-crack interaction has a significant effect on the fracture behaviour of bi-crystal strontium titanate; not only the misorientation angle but also the atomic-level details of the GB structure influence the effect of the GB on impeding crack propagation.","author":[{"dropping-particle":"","family":"Yang","given":"Shengfeng","non-dropping-particle":"","parse-names":false,"suffix":""},{"dropping-particle":"","family":"Chen","given":"Youping","non-dropping-particle":"","parse-names":false,"suffix":""}],"container-title":"Proceedings of the Royal Society A: Mathematical, Physical and Engineering Sciences","id":"ITEM-1","issue":"2175","issued":{"date-parts":[["2015"]]},"title":"Concurrent atomistic and continuum simulation of bi-crystal strontium titanate with tilt grain boundary","type":"article-journal","volume":"471"},"uris":["http://www.mendeley.com/documents/?uuid=90e47f44-5df7-4ec4-9801-48ead86bdb94"]}],"mendeley":{"formattedCitation":"[23]","plainTextFormattedCitation":"[23]","previouslyFormattedCitation":"[22]"},"properties":{"noteIndex":0},"schema":"https://github.com/citation-style-language/schema/raw/master/csl-citation.json"}</w:instrText>
      </w:r>
      <w:r>
        <w:fldChar w:fldCharType="separate"/>
      </w:r>
      <w:r w:rsidR="00E71688" w:rsidRPr="00E71688">
        <w:rPr>
          <w:noProof/>
        </w:rPr>
        <w:t>[23]</w:t>
      </w:r>
      <w:r>
        <w:fldChar w:fldCharType="end"/>
      </w:r>
      <w:r>
        <w:t>. En la presente investigación, se estim</w:t>
      </w:r>
      <w:r w:rsidR="00202662">
        <w:t>a</w:t>
      </w:r>
      <w:r>
        <w:t xml:space="preserve"> el campo de esfuerzos locales en monocristal</w:t>
      </w:r>
      <w:r w:rsidR="00202662">
        <w:t>es</w:t>
      </w:r>
      <w:r>
        <w:t xml:space="preserve"> de Aluminio fisurado</w:t>
      </w:r>
      <w:r w:rsidR="00202662">
        <w:t>s</w:t>
      </w:r>
      <w:r>
        <w:t xml:space="preserve"> y se estud</w:t>
      </w:r>
      <w:r w:rsidR="00202662">
        <w:t>ia</w:t>
      </w:r>
      <w:r>
        <w:t xml:space="preserve"> el efecto del tamaño de grano en la resistencia última del material usando el método multiescala átomo al continuo (</w:t>
      </w:r>
      <w:r w:rsidR="00202662">
        <w:t>ATC</w:t>
      </w:r>
      <w:r>
        <w:t>). Los resultados de A</w:t>
      </w:r>
      <w:r w:rsidR="00202662">
        <w:t>TC</w:t>
      </w:r>
      <w:r>
        <w:t xml:space="preserve"> </w:t>
      </w:r>
      <w:r w:rsidR="00202662">
        <w:t>son</w:t>
      </w:r>
      <w:r>
        <w:t xml:space="preserve"> comparados con los resultados obtenidos usando el teorema del Virial (VT) y la formulación de Hardy </w:t>
      </w:r>
      <w:r>
        <w:fldChar w:fldCharType="begin" w:fldLock="1"/>
      </w:r>
      <w:r w:rsidR="00E71688">
        <w:instrText>ADDIN CSL_CITATION {"citationItems":[{"id":"ITEM-1","itemData":{"DOI":"10.1063/1.442714","ISSN":"00219606","abstract":"Formulas are given that relate the mass, momentum, and energy densities and the momentum and heat fluxes to the masses, positions, and velocities of the individual particles making up a system. The formulas are similar to those of Irving and Kirkwood, but have forms that are easily implemented in molecular-dynamics simulations. Even when simulating very inhomogeneous phenomena such as shock waves, the densities and fluxes exactly satisfy conservation laws for mass, momentum, and energy. Corrections to the virial formula for the pressure and to the related formulas for the stress tensor and heat flux are obtained. The relationship of the formulas given to those used by others is discussed. © 1982 American Institute of Physics.","author":[{"dropping-particle":"","family":"Hardy","given":"Robert J.","non-dropping-particle":"","parse-names":false,"suffix":""}],"container-title":"The Journal of Chemical Physics","id":"ITEM-1","issue":"1","issued":{"date-parts":[["1982"]]},"page":"622-628","title":"Formulas for determining local properties in molecular-dynamics simulations: Shock waves","type":"article-journal","volume":"76"},"uris":["http://www.mendeley.com/documents/?uuid=4915a673-1b57-45ff-b0c6-8a1146d5f1cb"]}],"mendeley":{"formattedCitation":"[24]","plainTextFormattedCitation":"[24]","previouslyFormattedCitation":"[23]"},"properties":{"noteIndex":0},"schema":"https://github.com/citation-style-language/schema/raw/master/csl-citation.json"}</w:instrText>
      </w:r>
      <w:r>
        <w:fldChar w:fldCharType="separate"/>
      </w:r>
      <w:r w:rsidR="00E71688" w:rsidRPr="00E71688">
        <w:rPr>
          <w:noProof/>
        </w:rPr>
        <w:t>[24]</w:t>
      </w:r>
      <w:r>
        <w:fldChar w:fldCharType="end"/>
      </w:r>
      <w:r>
        <w:t>.</w:t>
      </w:r>
    </w:p>
    <w:p w14:paraId="5E5C8FAD" w14:textId="77777777" w:rsidR="00FE1A8E" w:rsidRPr="0021596F" w:rsidRDefault="00FE1A8E"/>
    <w:p w14:paraId="2000DA0F" w14:textId="77777777" w:rsidR="00FE1A8E" w:rsidRDefault="00084A57">
      <w:pPr>
        <w:pStyle w:val="Ttulo1"/>
        <w:numPr>
          <w:ilvl w:val="0"/>
          <w:numId w:val="2"/>
        </w:numPr>
        <w:rPr>
          <w:lang w:val="en-US"/>
        </w:rPr>
      </w:pPr>
      <w:r>
        <w:t>Modelo y teoría computacional</w:t>
      </w:r>
    </w:p>
    <w:p w14:paraId="5BBA2EBD" w14:textId="77777777" w:rsidR="00FE1A8E" w:rsidRDefault="00FE1A8E">
      <w:pPr>
        <w:rPr>
          <w:lang w:val="en-US"/>
        </w:rPr>
      </w:pPr>
    </w:p>
    <w:p w14:paraId="109FF8D5" w14:textId="77777777" w:rsidR="00FE1A8E" w:rsidRDefault="00084A57">
      <w:pPr>
        <w:pStyle w:val="Ttulo2"/>
        <w:numPr>
          <w:ilvl w:val="1"/>
          <w:numId w:val="2"/>
        </w:numPr>
        <w:rPr>
          <w:lang w:val="en-US"/>
        </w:rPr>
      </w:pPr>
      <w:r>
        <w:t>Simulaciones de dinámica molecular</w:t>
      </w:r>
    </w:p>
    <w:p w14:paraId="6419B3A1" w14:textId="77777777" w:rsidR="00FE1A8E" w:rsidRDefault="00FE1A8E">
      <w:pPr>
        <w:rPr>
          <w:lang w:val="en-US"/>
        </w:rPr>
      </w:pPr>
    </w:p>
    <w:p w14:paraId="490D26CB" w14:textId="18A975A0" w:rsidR="00FE1A8E" w:rsidRPr="00D67282" w:rsidRDefault="00084A57">
      <w:pPr>
        <w:rPr>
          <w:rFonts w:eastAsiaTheme="minorEastAsia"/>
        </w:rPr>
      </w:pPr>
      <w:r>
        <w:t xml:space="preserve">En las simulaciones de </w:t>
      </w:r>
      <w:r w:rsidR="001A61F8">
        <w:t>dinámica</w:t>
      </w:r>
      <w:r>
        <w:t xml:space="preserve"> molecular se usó el potencial </w:t>
      </w:r>
      <w:r w:rsidR="001A61F8">
        <w:t>interatómico</w:t>
      </w:r>
      <w:r>
        <w:t xml:space="preserve"> del átomo embebido (EAM) propuesto por </w:t>
      </w:r>
      <w:proofErr w:type="spellStart"/>
      <w:r>
        <w:t>Mendelev</w:t>
      </w:r>
      <w:proofErr w:type="spellEnd"/>
      <w:r>
        <w:t xml:space="preserve"> et al</w:t>
      </w:r>
      <w:r w:rsidR="001A61F8">
        <w:t>.</w:t>
      </w:r>
      <w:r>
        <w:t xml:space="preserve"> </w:t>
      </w:r>
      <w:r>
        <w:fldChar w:fldCharType="begin" w:fldLock="1"/>
      </w:r>
      <w:r w:rsidR="00E71688">
        <w:instrText>ADDIN CSL_CITATION {"citationItems":[{"id":"ITEM-1","itemData":{"DOI":"10.1080/14786430802206482","ISBN":"1478643080","ISSN":"14786435","abstract":"We investigate the application of embedded atom method (EAM) interatomic potentials in the study of crystallization kinetics from deeply undercooled melts, focusing on the fcc metals Al and Cu. For this application, it is important that the EAM potential accurately reproduces melting properties and liquid structure, in addition to the crystalline properties most commonly fit in its development. To test the accuracy of previously published EAM potentials and to guide the development of new potential in this work, first-principles calculations have been performed and new experimental measurements of the Al and Cu liquid structure factors have been undertaken by X-ray diffraction. We demonstrate that the previously published EAM potentials predict a liquid structure that is too strongly ordered relative to measured diffraction data. We develop new EAM potentials for Al and Cu to improve the agreement with the first-principles and measured liquid diffraction data. Furthermore, we calculate liquid-phase diffusivities and find that this quantity correlates well with the liquid structure. Finally, we perform molecular dynamics simulations of crystal nucleation from the melt during quenching at constant cooling rate. We find that EAM potentials, which predict the same zero-temperature crystal properties but different liquid structures, can lead to quite different crystallization kinetics. More interestingly, we find that two potentials predicting very similar equilibrium solid and liquid properties can still produce very different crystallization kinetics under far-from-equilibrium conditions characteristic of the rapid quenching simulations employed here.","author":[{"dropping-particle":"","family":"Mendelev","given":"M. I.","non-dropping-particle":"","parse-names":false,"suffix":""},{"dropping-particle":"","family":"Kramer","given":"M. J.","non-dropping-particle":"","parse-names":false,"suffix":""},{"dropping-particle":"","family":"Becker","given":"C. A.","non-dropping-particle":"","parse-names":false,"suffix":""},{"dropping-particle":"","family":"Asta","given":"M.","non-dropping-particle":"","parse-names":false,"suffix":""}],"container-title":"Philosophical Magazine","id":"ITEM-1","issue":"12","issued":{"date-parts":[["2008"]]},"page":"1723-1750","title":"Analysis of semi-empirical interatomic potentials appropriate for simulation of crystalline and liquid Al and Cu","type":"article-journal","volume":"88"},"uris":["http://www.mendeley.com/documents/?uuid=94011e21-6c75-4377-9b60-70e898d1c1cb"]}],"mendeley":{"formattedCitation":"[25]","plainTextFormattedCitation":"[25]","previouslyFormattedCitation":"[24]"},"properties":{"noteIndex":0},"schema":"https://github.com/citation-style-language/schema/raw/master/csl-citation.json"}</w:instrText>
      </w:r>
      <w:r>
        <w:fldChar w:fldCharType="separate"/>
      </w:r>
      <w:r w:rsidR="00E71688" w:rsidRPr="00E71688">
        <w:rPr>
          <w:noProof/>
        </w:rPr>
        <w:t>[25]</w:t>
      </w:r>
      <w:r>
        <w:fldChar w:fldCharType="end"/>
      </w:r>
      <w:r>
        <w:t xml:space="preserve"> para estudiar metales FCC con defectos, en este caso, el </w:t>
      </w:r>
      <w:r w:rsidR="005E537E">
        <w:t>A</w:t>
      </w:r>
      <w:r>
        <w:t xml:space="preserve">luminio. Se estudiaron monocristales con dimensiones </w:t>
      </w:r>
      <m:oMath>
        <m:r>
          <w:rPr>
            <w:rFonts w:ascii="Cambria Math" w:hAnsi="Cambria Math"/>
          </w:rPr>
          <m:t>20a×10a×20a</m:t>
        </m:r>
      </m:oMath>
      <w:r>
        <w:t xml:space="preserve">, </w:t>
      </w:r>
      <m:oMath>
        <m:r>
          <w:rPr>
            <w:rFonts w:ascii="Cambria Math" w:hAnsi="Cambria Math"/>
          </w:rPr>
          <m:t>30a×20a×40a</m:t>
        </m:r>
      </m:oMath>
      <w:r>
        <w:t xml:space="preserve"> y </w:t>
      </w:r>
      <m:oMath>
        <m:r>
          <w:rPr>
            <w:rFonts w:ascii="Cambria Math" w:hAnsi="Cambria Math"/>
          </w:rPr>
          <m:t>60a×20a×40a</m:t>
        </m:r>
      </m:oMath>
      <w:r>
        <w:t xml:space="preserve"> dónde </w:t>
      </w:r>
      <m:oMath>
        <m:r>
          <w:rPr>
            <w:rFonts w:ascii="Cambria Math" w:hAnsi="Cambria Math"/>
          </w:rPr>
          <m:t>a</m:t>
        </m:r>
      </m:oMath>
      <w:r>
        <w:t xml:space="preserve"> es el par</w:t>
      </w:r>
      <w:r w:rsidR="00006025">
        <w:t>á</w:t>
      </w:r>
      <w:r>
        <w:t xml:space="preserve">metro de red del aluminio que corresponde a </w:t>
      </w:r>
      <m:oMath>
        <m:r>
          <w:rPr>
            <w:rFonts w:ascii="Cambria Math" w:hAnsi="Cambria Math"/>
          </w:rPr>
          <m:t>a=4.05Å</m:t>
        </m:r>
      </m:oMath>
      <w:r>
        <w:rPr>
          <w:rFonts w:eastAsiaTheme="minorEastAsia"/>
        </w:rPr>
        <w:t>. La</w:t>
      </w:r>
      <w:r w:rsidR="00302C08">
        <w:rPr>
          <w:rFonts w:eastAsiaTheme="minorEastAsia"/>
        </w:rPr>
        <w:t>s</w:t>
      </w:r>
      <w:r>
        <w:rPr>
          <w:rFonts w:eastAsiaTheme="minorEastAsia"/>
        </w:rPr>
        <w:t xml:space="preserve"> longitud</w:t>
      </w:r>
      <w:r w:rsidR="00302C08">
        <w:rPr>
          <w:rFonts w:eastAsiaTheme="minorEastAsia"/>
        </w:rPr>
        <w:t>es</w:t>
      </w:r>
      <w:r>
        <w:rPr>
          <w:rFonts w:eastAsiaTheme="minorEastAsia"/>
        </w:rPr>
        <w:t xml:space="preserve"> de la fisura son respectivamente </w:t>
      </w:r>
      <m:oMath>
        <m:sSub>
          <m:sSubPr>
            <m:ctrlPr>
              <w:rPr>
                <w:rFonts w:ascii="Cambria Math" w:hAnsi="Cambria Math"/>
              </w:rPr>
            </m:ctrlPr>
          </m:sSubPr>
          <m:e>
            <m:r>
              <w:rPr>
                <w:rFonts w:ascii="Cambria Math" w:hAnsi="Cambria Math"/>
              </w:rPr>
              <m:t>l</m:t>
            </m:r>
          </m:e>
          <m:sub>
            <m:r>
              <w:rPr>
                <w:rFonts w:ascii="Cambria Math" w:hAnsi="Cambria Math"/>
              </w:rPr>
              <m:t>0</m:t>
            </m:r>
          </m:sub>
        </m:sSub>
        <m:r>
          <w:rPr>
            <w:rFonts w:ascii="Cambria Math" w:hAnsi="Cambria Math"/>
          </w:rPr>
          <m:t>=5a,7a y 10a</m:t>
        </m:r>
      </m:oMath>
      <w:r w:rsidR="004F70A4">
        <w:rPr>
          <w:rFonts w:eastAsiaTheme="minorEastAsia"/>
        </w:rPr>
        <w:t xml:space="preserve">. Se implementa una proporción creciente entre </w:t>
      </w:r>
      <m:oMath>
        <m:sSub>
          <m:sSubPr>
            <m:ctrlPr>
              <w:rPr>
                <w:rFonts w:ascii="Cambria Math" w:hAnsi="Cambria Math"/>
              </w:rPr>
            </m:ctrlPr>
          </m:sSubPr>
          <m:e>
            <m:r>
              <w:rPr>
                <w:rFonts w:ascii="Cambria Math" w:hAnsi="Cambria Math"/>
              </w:rPr>
              <m:t>L</m:t>
            </m:r>
          </m:e>
          <m:sub>
            <m:r>
              <w:rPr>
                <w:rFonts w:ascii="Cambria Math" w:hAnsi="Cambria Math"/>
              </w:rPr>
              <m:t>x</m:t>
            </m:r>
          </m:sub>
        </m:sSub>
      </m:oMath>
      <w:r w:rsidR="004F70A4">
        <w:rPr>
          <w:rFonts w:eastAsiaTheme="minorEastAsia"/>
        </w:rPr>
        <w:t xml:space="preserve"> y </w:t>
      </w:r>
      <m:oMath>
        <m:sSub>
          <m:sSubPr>
            <m:ctrlPr>
              <w:rPr>
                <w:rFonts w:ascii="Cambria Math" w:hAnsi="Cambria Math"/>
              </w:rPr>
            </m:ctrlPr>
          </m:sSubPr>
          <m:e>
            <m:r>
              <w:rPr>
                <w:rFonts w:ascii="Cambria Math" w:hAnsi="Cambria Math"/>
              </w:rPr>
              <m:t>l</m:t>
            </m:r>
          </m:e>
          <m:sub>
            <m:r>
              <w:rPr>
                <w:rFonts w:ascii="Cambria Math" w:hAnsi="Cambria Math"/>
              </w:rPr>
              <m:t>0</m:t>
            </m:r>
          </m:sub>
        </m:sSub>
      </m:oMath>
      <w:r w:rsidR="004F70A4">
        <w:rPr>
          <w:rFonts w:eastAsiaTheme="minorEastAsia"/>
        </w:rPr>
        <w:t xml:space="preserve"> d</w:t>
      </w:r>
      <w:r w:rsidR="00D67282">
        <w:rPr>
          <w:rFonts w:eastAsiaTheme="minorEastAsia"/>
        </w:rPr>
        <w:t>e la fisura</w:t>
      </w:r>
      <w:r w:rsidR="004F70A4">
        <w:rPr>
          <w:rFonts w:eastAsiaTheme="minorEastAsia"/>
        </w:rPr>
        <w:t>.</w:t>
      </w:r>
      <w:r w:rsidR="00D67282">
        <w:rPr>
          <w:rFonts w:eastAsiaTheme="minorEastAsia"/>
        </w:rPr>
        <w:t xml:space="preserve"> En la </w:t>
      </w:r>
      <w:r>
        <w:rPr>
          <w:rFonts w:eastAsiaTheme="minorEastAsia"/>
          <w:b/>
          <w:bCs/>
        </w:rPr>
        <w:t>Figura 1</w:t>
      </w:r>
      <w:r w:rsidR="00D67282">
        <w:rPr>
          <w:rFonts w:eastAsiaTheme="minorEastAsia"/>
          <w:b/>
          <w:bCs/>
        </w:rPr>
        <w:t xml:space="preserve"> </w:t>
      </w:r>
      <w:r w:rsidR="00D67282" w:rsidRPr="00D67282">
        <w:rPr>
          <w:rFonts w:eastAsiaTheme="minorEastAsia"/>
        </w:rPr>
        <w:t>se puede observar el esquema</w:t>
      </w:r>
      <w:r w:rsidRPr="00D67282">
        <w:rPr>
          <w:rFonts w:eastAsiaTheme="minorEastAsia"/>
        </w:rPr>
        <w:t>.</w:t>
      </w:r>
    </w:p>
    <w:p w14:paraId="15E302DB" w14:textId="77606205" w:rsidR="00302C08" w:rsidRDefault="00302C08">
      <w:pPr>
        <w:rPr>
          <w:rFonts w:eastAsiaTheme="minorEastAsia"/>
        </w:rPr>
      </w:pPr>
      <w:r>
        <w:rPr>
          <w:rFonts w:eastAsiaTheme="minorEastAsia"/>
        </w:rPr>
        <w:t xml:space="preserve">Para la simulación se implementaron condiciones de superficie libre en la dirección </w:t>
      </w:r>
      <m:oMath>
        <m:acc>
          <m:accPr>
            <m:chr m:val="⃗"/>
            <m:ctrlPr>
              <w:rPr>
                <w:rFonts w:ascii="Cambria Math" w:hAnsi="Cambria Math"/>
              </w:rPr>
            </m:ctrlPr>
          </m:accPr>
          <m:e>
            <m:r>
              <w:rPr>
                <w:rFonts w:ascii="Cambria Math" w:hAnsi="Cambria Math"/>
              </w:rPr>
              <m:t>x</m:t>
            </m:r>
          </m:e>
        </m:acc>
      </m:oMath>
      <w:r>
        <w:rPr>
          <w:rFonts w:eastAsiaTheme="minorEastAsia"/>
        </w:rPr>
        <w:t xml:space="preserve">, mientras en las direcciones </w:t>
      </w:r>
      <m:oMath>
        <m:acc>
          <m:accPr>
            <m:chr m:val="⃗"/>
            <m:ctrlPr>
              <w:rPr>
                <w:rFonts w:ascii="Cambria Math" w:hAnsi="Cambria Math"/>
              </w:rPr>
            </m:ctrlPr>
          </m:accPr>
          <m:e>
            <m:r>
              <w:rPr>
                <w:rFonts w:ascii="Cambria Math" w:hAnsi="Cambria Math"/>
              </w:rPr>
              <m:t>y</m:t>
            </m:r>
          </m:e>
        </m:acc>
      </m:oMath>
      <w:r>
        <w:rPr>
          <w:rFonts w:eastAsiaTheme="minorEastAsia"/>
        </w:rPr>
        <w:t xml:space="preserve"> y </w:t>
      </w:r>
      <m:oMath>
        <m:acc>
          <m:accPr>
            <m:chr m:val="⃗"/>
            <m:ctrlPr>
              <w:rPr>
                <w:rFonts w:ascii="Cambria Math" w:hAnsi="Cambria Math"/>
              </w:rPr>
            </m:ctrlPr>
          </m:accPr>
          <m:e>
            <m:r>
              <w:rPr>
                <w:rFonts w:ascii="Cambria Math" w:hAnsi="Cambria Math"/>
              </w:rPr>
              <m:t>z</m:t>
            </m:r>
          </m:e>
        </m:acc>
      </m:oMath>
      <w:r>
        <w:rPr>
          <w:rFonts w:eastAsiaTheme="minorEastAsia"/>
        </w:rPr>
        <w:t xml:space="preserve"> se implementaron condiciones de frontera periodica. El cristal está construido con replicas de la celda FCC en las direcciones </w:t>
      </w:r>
      <m:oMath>
        <m:d>
          <m:dPr>
            <m:begChr m:val="⟨"/>
            <m:endChr m:val="⟩"/>
            <m:ctrlPr>
              <w:rPr>
                <w:rFonts w:ascii="Cambria Math" w:hAnsi="Cambria Math"/>
              </w:rPr>
            </m:ctrlPr>
          </m:dPr>
          <m:e>
            <m:r>
              <w:rPr>
                <w:rFonts w:ascii="Cambria Math" w:hAnsi="Cambria Math"/>
              </w:rPr>
              <m:t>100</m:t>
            </m:r>
          </m:e>
        </m:d>
        <m:d>
          <m:dPr>
            <m:begChr m:val="⟨"/>
            <m:endChr m:val="⟩"/>
            <m:ctrlPr>
              <w:rPr>
                <w:rFonts w:ascii="Cambria Math" w:hAnsi="Cambria Math"/>
              </w:rPr>
            </m:ctrlPr>
          </m:dPr>
          <m:e>
            <m:r>
              <w:rPr>
                <w:rFonts w:ascii="Cambria Math" w:hAnsi="Cambria Math"/>
              </w:rPr>
              <m:t>010</m:t>
            </m:r>
          </m:e>
        </m:d>
        <m:d>
          <m:dPr>
            <m:begChr m:val="⟨"/>
            <m:endChr m:val="⟩"/>
            <m:ctrlPr>
              <w:rPr>
                <w:rFonts w:ascii="Cambria Math" w:hAnsi="Cambria Math"/>
              </w:rPr>
            </m:ctrlPr>
          </m:dPr>
          <m:e>
            <m:r>
              <w:rPr>
                <w:rFonts w:ascii="Cambria Math" w:hAnsi="Cambria Math"/>
              </w:rPr>
              <m:t>001</m:t>
            </m:r>
          </m:e>
        </m:d>
      </m:oMath>
      <w:r>
        <w:rPr>
          <w:rFonts w:eastAsiaTheme="minorEastAsia"/>
        </w:rPr>
        <w:t>.</w:t>
      </w:r>
      <w:r w:rsidRPr="00302C08">
        <w:rPr>
          <w:rFonts w:eastAsiaTheme="minorEastAsia"/>
        </w:rPr>
        <w:t xml:space="preserve"> </w:t>
      </w:r>
      <w:r>
        <w:rPr>
          <w:rFonts w:eastAsiaTheme="minorEastAsia"/>
        </w:rPr>
        <w:t xml:space="preserve">La temperatura del sistema se mantuvo en </w:t>
      </w:r>
      <m:oMath>
        <m:r>
          <w:rPr>
            <w:rFonts w:ascii="Cambria Math" w:hAnsi="Cambria Math"/>
          </w:rPr>
          <m:t>300K</m:t>
        </m:r>
      </m:oMath>
      <w:r>
        <w:rPr>
          <w:rFonts w:eastAsiaTheme="minorEastAsia"/>
        </w:rPr>
        <w:t xml:space="preserve"> usando el termostato de Nose/Hoover. Así mismo, se mantuvo el sistema a presión constante a </w:t>
      </w:r>
      <m:oMath>
        <m:r>
          <w:rPr>
            <w:rFonts w:ascii="Cambria Math" w:hAnsi="Cambria Math"/>
          </w:rPr>
          <m:t>1.01 atm</m:t>
        </m:r>
      </m:oMath>
      <w:r>
        <w:rPr>
          <w:rFonts w:eastAsiaTheme="minorEastAsia"/>
        </w:rPr>
        <w:t xml:space="preserve"> en las direcciones </w:t>
      </w:r>
      <m:oMath>
        <m:acc>
          <m:accPr>
            <m:chr m:val="⃗"/>
            <m:ctrlPr>
              <w:rPr>
                <w:rFonts w:ascii="Cambria Math" w:hAnsi="Cambria Math"/>
              </w:rPr>
            </m:ctrlPr>
          </m:accPr>
          <m:e>
            <m:r>
              <w:rPr>
                <w:rFonts w:ascii="Cambria Math" w:hAnsi="Cambria Math"/>
              </w:rPr>
              <m:t>x</m:t>
            </m:r>
          </m:e>
        </m:acc>
      </m:oMath>
      <w:r>
        <w:rPr>
          <w:rFonts w:eastAsiaTheme="minorEastAsia"/>
        </w:rPr>
        <w:t xml:space="preserve"> y </w:t>
      </w:r>
      <m:oMath>
        <m:acc>
          <m:accPr>
            <m:chr m:val="⃗"/>
            <m:ctrlPr>
              <w:rPr>
                <w:rFonts w:ascii="Cambria Math" w:hAnsi="Cambria Math"/>
              </w:rPr>
            </m:ctrlPr>
          </m:accPr>
          <m:e>
            <m:r>
              <w:rPr>
                <w:rFonts w:ascii="Cambria Math" w:hAnsi="Cambria Math"/>
              </w:rPr>
              <m:t>y</m:t>
            </m:r>
          </m:e>
        </m:acc>
      </m:oMath>
      <w:r>
        <w:rPr>
          <w:rFonts w:eastAsiaTheme="minorEastAsia"/>
        </w:rPr>
        <w:t xml:space="preserve"> usando el barostato de Nose/Hoover. Se aplican </w:t>
      </w:r>
      <w:r>
        <w:rPr>
          <w:rFonts w:eastAsiaTheme="minorEastAsia"/>
        </w:rPr>
        <w:lastRenderedPageBreak/>
        <w:t xml:space="preserve">condiciones de desplazamiento controlada en la dirección </w:t>
      </w:r>
      <m:oMath>
        <m:acc>
          <m:accPr>
            <m:chr m:val="⃗"/>
            <m:ctrlPr>
              <w:rPr>
                <w:rFonts w:ascii="Cambria Math" w:hAnsi="Cambria Math"/>
              </w:rPr>
            </m:ctrlPr>
          </m:accPr>
          <m:e>
            <m:r>
              <w:rPr>
                <w:rFonts w:ascii="Cambria Math" w:hAnsi="Cambria Math"/>
              </w:rPr>
              <m:t>z</m:t>
            </m:r>
          </m:e>
        </m:acc>
      </m:oMath>
      <w:r>
        <w:rPr>
          <w:rFonts w:eastAsiaTheme="minorEastAsia"/>
        </w:rPr>
        <w:t xml:space="preserve"> a una</w:t>
      </w:r>
      <w:r w:rsidR="00346A3D">
        <w:rPr>
          <w:rFonts w:eastAsiaTheme="minorEastAsia"/>
        </w:rPr>
        <w:t xml:space="preserve"> velocidad </w:t>
      </w:r>
      <w:r>
        <w:rPr>
          <w:rFonts w:eastAsiaTheme="minorEastAsia"/>
        </w:rPr>
        <w:t xml:space="preserve">de deformación de </w:t>
      </w:r>
      <m:oMath>
        <m:f>
          <m:fPr>
            <m:type m:val="lin"/>
            <m:ctrlPr>
              <w:rPr>
                <w:rFonts w:ascii="Cambria Math" w:hAnsi="Cambria Math"/>
              </w:rPr>
            </m:ctrlPr>
          </m:fPr>
          <m:num>
            <m:sSup>
              <m:sSupPr>
                <m:ctrlPr>
                  <w:rPr>
                    <w:rFonts w:ascii="Cambria Math" w:hAnsi="Cambria Math"/>
                  </w:rPr>
                </m:ctrlPr>
              </m:sSupPr>
              <m:e>
                <m:r>
                  <w:rPr>
                    <w:rFonts w:ascii="Cambria Math" w:hAnsi="Cambria Math"/>
                  </w:rPr>
                  <m:t>1×10</m:t>
                </m:r>
              </m:e>
              <m:sup>
                <m:r>
                  <w:rPr>
                    <w:rFonts w:ascii="Cambria Math" w:hAnsi="Cambria Math"/>
                  </w:rPr>
                  <m:t>-4</m:t>
                </m:r>
              </m:sup>
            </m:sSup>
          </m:num>
          <m:den>
            <m:r>
              <w:rPr>
                <w:rFonts w:ascii="Cambria Math" w:hAnsi="Cambria Math"/>
              </w:rPr>
              <m:t>ps</m:t>
            </m:r>
          </m:den>
        </m:f>
      </m:oMath>
      <w:r>
        <w:rPr>
          <w:rFonts w:eastAsiaTheme="minorEastAsia"/>
        </w:rPr>
        <w:t xml:space="preserve"> y un paso de tiempo de </w:t>
      </w:r>
      <m:oMath>
        <m:r>
          <w:rPr>
            <w:rFonts w:ascii="Cambria Math" w:hAnsi="Cambria Math"/>
          </w:rPr>
          <m:t>0.001ps</m:t>
        </m:r>
      </m:oMath>
      <w:r>
        <w:rPr>
          <w:rFonts w:eastAsiaTheme="minorEastAsia"/>
        </w:rPr>
        <w:t>.</w:t>
      </w:r>
    </w:p>
    <w:p w14:paraId="18960487" w14:textId="3765EBF9" w:rsidR="00FE1A8E" w:rsidRDefault="00143B21">
      <w:pPr>
        <w:rPr>
          <w:rFonts w:eastAsiaTheme="minorEastAsia"/>
        </w:rPr>
      </w:pPr>
      <w:bookmarkStart w:id="0" w:name="_Hlk113548223"/>
      <w:r>
        <w:rPr>
          <w:noProof/>
        </w:rPr>
        <mc:AlternateContent>
          <mc:Choice Requires="wps">
            <w:drawing>
              <wp:anchor distT="45720" distB="45720" distL="114300" distR="114300" simplePos="0" relativeHeight="12" behindDoc="1" locked="0" layoutInCell="1" allowOverlap="1" wp14:anchorId="172BDD12" wp14:editId="51324FA4">
                <wp:simplePos x="0" y="0"/>
                <wp:positionH relativeFrom="column">
                  <wp:posOffset>-30480</wp:posOffset>
                </wp:positionH>
                <wp:positionV relativeFrom="paragraph">
                  <wp:posOffset>1532001</wp:posOffset>
                </wp:positionV>
                <wp:extent cx="2830830" cy="2669540"/>
                <wp:effectExtent l="0" t="0" r="7620" b="0"/>
                <wp:wrapTight wrapText="bothSides">
                  <wp:wrapPolygon edited="0">
                    <wp:start x="0" y="0"/>
                    <wp:lineTo x="0" y="21425"/>
                    <wp:lineTo x="21513" y="21425"/>
                    <wp:lineTo x="21513" y="0"/>
                    <wp:lineTo x="0" y="0"/>
                  </wp:wrapPolygon>
                </wp:wrapTight>
                <wp:docPr id="7" name="Text Box 2"/>
                <wp:cNvGraphicFramePr/>
                <a:graphic xmlns:a="http://schemas.openxmlformats.org/drawingml/2006/main">
                  <a:graphicData uri="http://schemas.microsoft.com/office/word/2010/wordprocessingShape">
                    <wps:wsp>
                      <wps:cNvSpPr/>
                      <wps:spPr>
                        <a:xfrm>
                          <a:off x="0" y="0"/>
                          <a:ext cx="2830830" cy="26695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573CE37B" w14:textId="2F73C905" w:rsidR="00FE1A8E" w:rsidRDefault="00143B21">
                            <w:pPr>
                              <w:pStyle w:val="Descripcin"/>
                              <w:jc w:val="center"/>
                              <w:rPr>
                                <w:b/>
                              </w:rPr>
                            </w:pPr>
                            <w:r w:rsidRPr="00143B21">
                              <w:rPr>
                                <w:b/>
                                <w:noProof/>
                              </w:rPr>
                              <w:drawing>
                                <wp:inline distT="0" distB="0" distL="0" distR="0" wp14:anchorId="46534F71" wp14:editId="6EE66633">
                                  <wp:extent cx="2721102" cy="2018986"/>
                                  <wp:effectExtent l="0" t="0" r="3175"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3996" cy="2021133"/>
                                          </a:xfrm>
                                          <a:prstGeom prst="rect">
                                            <a:avLst/>
                                          </a:prstGeom>
                                          <a:noFill/>
                                          <a:ln>
                                            <a:noFill/>
                                          </a:ln>
                                        </pic:spPr>
                                      </pic:pic>
                                    </a:graphicData>
                                  </a:graphic>
                                </wp:inline>
                              </w:drawing>
                            </w:r>
                          </w:p>
                          <w:p w14:paraId="55EFD2A1" w14:textId="77777777" w:rsidR="00FE1A8E" w:rsidRDefault="00084A57">
                            <w:pPr>
                              <w:pStyle w:val="Descripcin"/>
                              <w:jc w:val="left"/>
                              <w:rPr>
                                <w:color w:val="000000"/>
                              </w:rPr>
                            </w:pPr>
                            <w:r>
                              <w:rPr>
                                <w:b/>
                                <w:bCs/>
                                <w:color w:val="000000"/>
                              </w:rPr>
                              <w:t xml:space="preserve">Figura </w:t>
                            </w:r>
                            <w:r>
                              <w:rPr>
                                <w:b/>
                                <w:bCs/>
                                <w:color w:val="000000"/>
                              </w:rPr>
                              <w:fldChar w:fldCharType="begin"/>
                            </w:r>
                            <w:r>
                              <w:rPr>
                                <w:b/>
                                <w:bCs/>
                                <w:color w:val="000000"/>
                              </w:rPr>
                              <w:instrText>SEQ Figura \* ARABIC</w:instrText>
                            </w:r>
                            <w:r>
                              <w:rPr>
                                <w:b/>
                                <w:bCs/>
                                <w:color w:val="000000"/>
                              </w:rPr>
                              <w:fldChar w:fldCharType="separate"/>
                            </w:r>
                            <w:r>
                              <w:rPr>
                                <w:b/>
                                <w:bCs/>
                                <w:color w:val="000000"/>
                              </w:rPr>
                              <w:t>1</w:t>
                            </w:r>
                            <w:r>
                              <w:rPr>
                                <w:b/>
                                <w:bCs/>
                                <w:color w:val="000000"/>
                              </w:rPr>
                              <w:fldChar w:fldCharType="end"/>
                            </w:r>
                            <w:r>
                              <w:rPr>
                                <w:color w:val="000000"/>
                              </w:rPr>
                              <w:t>. Esquema de dimensiones del monocristal y la nano-fisura.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72BDD12" id="Text Box 2" o:spid="_x0000_s1026" style="position:absolute;left:0;text-align:left;margin-left:-2.4pt;margin-top:120.65pt;width:222.9pt;height:210.2pt;z-index:-5033164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" stroked="f" strokeweight=".26mm">
                <v:textbox>
                  <w:txbxContent>
                    <w:p w14:paraId="573CE37B" w14:textId="2F73C905" w:rsidR="00FE1A8E" w:rsidRDefault="00143B21">
                      <w:pPr>
                        <w:pStyle w:val="Descripcin"/>
                        <w:jc w:val="center"/>
                        <w:rPr>
                          <w:b/>
                        </w:rPr>
                      </w:pPr>
                      <w:r w:rsidRPr="00143B21">
                        <w:rPr>
                          <w:b/>
                          <w:noProof/>
                        </w:rPr>
                        <w:drawing>
                          <wp:inline distT="0" distB="0" distL="0" distR="0" wp14:anchorId="46534F71" wp14:editId="6EE66633">
                            <wp:extent cx="2721102" cy="2018986"/>
                            <wp:effectExtent l="0" t="0" r="3175"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3996" cy="2021133"/>
                                    </a:xfrm>
                                    <a:prstGeom prst="rect">
                                      <a:avLst/>
                                    </a:prstGeom>
                                    <a:noFill/>
                                    <a:ln>
                                      <a:noFill/>
                                    </a:ln>
                                  </pic:spPr>
                                </pic:pic>
                              </a:graphicData>
                            </a:graphic>
                          </wp:inline>
                        </w:drawing>
                      </w:r>
                    </w:p>
                    <w:p w14:paraId="55EFD2A1" w14:textId="77777777" w:rsidR="00FE1A8E" w:rsidRDefault="00084A57">
                      <w:pPr>
                        <w:pStyle w:val="Descripcin"/>
                        <w:jc w:val="left"/>
                        <w:rPr>
                          <w:color w:val="000000"/>
                        </w:rPr>
                      </w:pPr>
                      <w:r>
                        <w:rPr>
                          <w:b/>
                          <w:bCs/>
                          <w:color w:val="000000"/>
                        </w:rPr>
                        <w:t xml:space="preserve">Figura </w:t>
                      </w:r>
                      <w:r>
                        <w:rPr>
                          <w:b/>
                          <w:bCs/>
                          <w:color w:val="000000"/>
                        </w:rPr>
                        <w:fldChar w:fldCharType="begin"/>
                      </w:r>
                      <w:r>
                        <w:rPr>
                          <w:b/>
                          <w:bCs/>
                          <w:color w:val="000000"/>
                        </w:rPr>
                        <w:instrText>SEQ Figura \* ARABIC</w:instrText>
                      </w:r>
                      <w:r>
                        <w:rPr>
                          <w:b/>
                          <w:bCs/>
                          <w:color w:val="000000"/>
                        </w:rPr>
                        <w:fldChar w:fldCharType="separate"/>
                      </w:r>
                      <w:r>
                        <w:rPr>
                          <w:b/>
                          <w:bCs/>
                          <w:color w:val="000000"/>
                        </w:rPr>
                        <w:t>1</w:t>
                      </w:r>
                      <w:r>
                        <w:rPr>
                          <w:b/>
                          <w:bCs/>
                          <w:color w:val="000000"/>
                        </w:rPr>
                        <w:fldChar w:fldCharType="end"/>
                      </w:r>
                      <w:r>
                        <w:rPr>
                          <w:color w:val="000000"/>
                        </w:rPr>
                        <w:t>. Esquema de dimensiones del monocristal y la nano-fisura.</w:t>
                      </w:r>
                    </w:p>
                  </w:txbxContent>
                </v:textbox>
                <w10:wrap type="tight"/>
              </v:rect>
            </w:pict>
          </mc:Fallback>
        </mc:AlternateContent>
      </w:r>
      <w:r w:rsidR="00084A57" w:rsidRPr="00302C08">
        <w:rPr>
          <w:rFonts w:eastAsiaTheme="minorEastAsia"/>
        </w:rPr>
        <w:t xml:space="preserve">La simulación se </w:t>
      </w:r>
      <w:r w:rsidR="00346A3D">
        <w:rPr>
          <w:rFonts w:eastAsiaTheme="minorEastAsia"/>
        </w:rPr>
        <w:t>desarrolla</w:t>
      </w:r>
      <w:r w:rsidR="00084A57" w:rsidRPr="00302C08">
        <w:rPr>
          <w:rFonts w:eastAsiaTheme="minorEastAsia"/>
        </w:rPr>
        <w:t xml:space="preserve"> a través de 4 etapas descritas</w:t>
      </w:r>
      <w:r w:rsidR="001652EA" w:rsidRPr="00302C08">
        <w:rPr>
          <w:rFonts w:eastAsiaTheme="minorEastAsia"/>
        </w:rPr>
        <w:t xml:space="preserve"> en </w:t>
      </w:r>
      <w:r w:rsidR="001652EA" w:rsidRPr="00302C08">
        <w:rPr>
          <w:rFonts w:eastAsiaTheme="minorEastAsia"/>
        </w:rPr>
        <w:fldChar w:fldCharType="begin" w:fldLock="1"/>
      </w:r>
      <w:r w:rsidR="00E71688">
        <w:rPr>
          <w:rFonts w:eastAsiaTheme="minorEastAsia"/>
        </w:rPr>
        <w:instrText>ADDIN CSL_CITATION {"citationItems":[{"id":"ITEM-1","itemData":{"DOI":"10.1016/j.commatsci.2019.05.031","ISSN":"09270256","abstract":"Complex interactions of defects such as dislocations and grain boundaries determine the deformation mechanism of nanocrystalline materials. Using molecular dynamics simulations, in this paper, we study crack propagation under mode I. Single crystals and bicrystals aluminum (Al) with different initial edge crack lengths were loaded until failure under controlled deformation. The effect of the grain boundary on the fracture toughness was analyzed. Tearing was observed and investigated in Al bicrystals. A novel methodology is proposed to estimate the fracture toughness in terms of J for Al single crystals and bicrystals. J was computed by means of three different methods, viz., J Contour Integral, Energy Release Rate, and Crack Tip Opening Displacement. Fracture toughness (JC) for bicrystal was 445% higher than for single crystal. JC for the single crystal was approximately 3 J/m2 and 13 J/m2 for the bicrystal. Comparison between first tearing in Al bicrystals and failure in single crystals was performed. Finally, it was evidenced that for Al bicrystals ductile fracture occurred during final fracture and the grain boundary had a large effect on the mechanical behavior of Al bicrystals.","author":[{"dropping-particle":"","family":"Velilla-Díaz","given":"Wilmer","non-dropping-particle":"","parse-names":false,"suffix":""},{"dropping-particle":"","family":"Pacheco-Sanjuan","given":"Alejandro","non-dropping-particle":"","parse-names":false,"suffix":""},{"dropping-particle":"","family":"Zambrano","given":"Habib R.","non-dropping-particle":"","parse-names":false,"suffix":""}],"container-title":"Computational Materials Science","id":"ITEM-1","issue":"March","issued":{"date-parts":[["2019"]]},"page":"34-41","publisher":"Elsevier","title":"The role of the grain boundary in the fracture toughness of aluminum bicrystal","type":"article-journal","volume":"167"},"uris":["http://www.mendeley.com/documents/?uuid=e09b9487-0867-450c-986a-c7aeab0764d1"]}],"mendeley":{"formattedCitation":"[10]","plainTextFormattedCitation":"[10]","previouslyFormattedCitation":"[9]"},"properties":{"noteIndex":0},"schema":"https://github.com/citation-style-language/schema/raw/master/csl-citation.json"}</w:instrText>
      </w:r>
      <w:r w:rsidR="001652EA" w:rsidRPr="00302C08">
        <w:rPr>
          <w:rFonts w:eastAsiaTheme="minorEastAsia"/>
        </w:rPr>
        <w:fldChar w:fldCharType="separate"/>
      </w:r>
      <w:r w:rsidR="00E71688" w:rsidRPr="00E71688">
        <w:rPr>
          <w:rFonts w:eastAsiaTheme="minorEastAsia"/>
          <w:noProof/>
        </w:rPr>
        <w:t>[10]</w:t>
      </w:r>
      <w:r w:rsidR="001652EA" w:rsidRPr="00302C08">
        <w:rPr>
          <w:rFonts w:eastAsiaTheme="minorEastAsia"/>
        </w:rPr>
        <w:fldChar w:fldCharType="end"/>
      </w:r>
      <w:r w:rsidR="00084A57" w:rsidRPr="00302C08">
        <w:rPr>
          <w:rFonts w:eastAsiaTheme="minorEastAsia"/>
        </w:rPr>
        <w:t>.</w:t>
      </w:r>
      <w:bookmarkEnd w:id="0"/>
      <w:r w:rsidR="00084A57">
        <w:rPr>
          <w:rFonts w:eastAsiaTheme="minorEastAsia"/>
        </w:rPr>
        <w:t xml:space="preserve"> El </w:t>
      </w:r>
      <w:r w:rsidR="001652EA">
        <w:rPr>
          <w:rFonts w:eastAsiaTheme="minorEastAsia"/>
        </w:rPr>
        <w:t>código</w:t>
      </w:r>
      <w:r w:rsidR="00084A57">
        <w:rPr>
          <w:rFonts w:eastAsiaTheme="minorEastAsia"/>
        </w:rPr>
        <w:t xml:space="preserve"> de la simulación fue </w:t>
      </w:r>
      <w:r w:rsidR="00346A3D">
        <w:rPr>
          <w:rFonts w:eastAsiaTheme="minorEastAsia"/>
        </w:rPr>
        <w:t>implementado</w:t>
      </w:r>
      <w:r w:rsidR="00084A57">
        <w:rPr>
          <w:rFonts w:eastAsiaTheme="minorEastAsia"/>
        </w:rPr>
        <w:t xml:space="preserve"> en Lammps </w:t>
      </w:r>
      <w:r w:rsidR="00084A57">
        <w:fldChar w:fldCharType="begin" w:fldLock="1"/>
      </w:r>
      <w:r w:rsidR="00E71688">
        <w:instrText>ADDIN CSL_CITATION {"citationItems":[{"id":"ITEM-1","itemData":{"DOI":"https://doi.org/10.1006/jcph.1995.1039","author":[{"dropping-particle":"","family":"Plimpton","given":"Steven J.","non-dropping-particle":"","parse-names":false,"suffix":""}],"container-title":"Journal of Computational Physics","id":"ITEM-1","issued":{"date-parts":[["1995"]]},"page":"1-19","title":"Fast parallel algorithms for short-range molecular dynamics","type":"article-journal","volume":"117"},"uris":["http://www.mendeley.com/documents/?uuid=9fe39096-b7a0-4662-8950-55806412d2a7"]}],"mendeley":{"formattedCitation":"[26]","plainTextFormattedCitation":"[26]","previouslyFormattedCitation":"[25]"},"properties":{"noteIndex":0},"schema":"https://github.com/citation-style-language/schema/raw/master/csl-citation.json"}</w:instrText>
      </w:r>
      <w:r w:rsidR="00084A57">
        <w:fldChar w:fldCharType="separate"/>
      </w:r>
      <w:r w:rsidR="00E71688" w:rsidRPr="00E71688">
        <w:rPr>
          <w:rFonts w:eastAsiaTheme="minorEastAsia"/>
          <w:noProof/>
        </w:rPr>
        <w:t>[26]</w:t>
      </w:r>
      <w:r w:rsidR="00084A57">
        <w:fldChar w:fldCharType="end"/>
      </w:r>
      <w:r w:rsidR="00084A57">
        <w:rPr>
          <w:rFonts w:eastAsiaTheme="minorEastAsia"/>
        </w:rPr>
        <w:t>. Los esfuerzos globales fueron</w:t>
      </w:r>
      <w:r w:rsidR="00346A3D">
        <w:rPr>
          <w:rFonts w:eastAsiaTheme="minorEastAsia"/>
        </w:rPr>
        <w:t xml:space="preserve"> estimados</w:t>
      </w:r>
      <w:r w:rsidR="00084A57">
        <w:rPr>
          <w:rFonts w:eastAsiaTheme="minorEastAsia"/>
        </w:rPr>
        <w:t xml:space="preserve"> </w:t>
      </w:r>
      <w:r w:rsidR="00346A3D">
        <w:rPr>
          <w:rFonts w:eastAsiaTheme="minorEastAsia"/>
        </w:rPr>
        <w:t>con</w:t>
      </w:r>
      <w:r w:rsidR="00084A57">
        <w:rPr>
          <w:rFonts w:eastAsiaTheme="minorEastAsia"/>
        </w:rPr>
        <w:t xml:space="preserve"> las simulaciones de </w:t>
      </w:r>
      <w:r w:rsidR="001652EA">
        <w:rPr>
          <w:rFonts w:eastAsiaTheme="minorEastAsia"/>
        </w:rPr>
        <w:t>dinámica</w:t>
      </w:r>
      <w:r w:rsidR="00084A57">
        <w:rPr>
          <w:rFonts w:eastAsiaTheme="minorEastAsia"/>
        </w:rPr>
        <w:t xml:space="preserve"> molecular usando la formulación para el tensor de esfuerzos del Virial propuesta en </w:t>
      </w:r>
      <w:r w:rsidR="00084A57">
        <w:fldChar w:fldCharType="begin" w:fldLock="1"/>
      </w:r>
      <w:r w:rsidR="00E71688">
        <w:instrText>ADDIN CSL_CITATION {"citationItems":[{"id":"ITEM-1","itemData":{"DOI":"10.1063/1.3245303","ISSN":"00219606","abstract":"Three distinct forms are derived for the force virial contribution to the pressure and stress tensor of a collection of atoms interacting under periodic boundary conditions. All three forms are written in terms of forces acting on atoms, and so are valid for arbitrary many-body interatomic potentials. All three forms are mathematically equivalent. In the special case of atoms interacting with pair potentials, they reduce to previously published forms. (i) The atom-cell form is similar to the standard expression for the virial for a finite nonperiodic system, but with an explicit correction for interactions with periodic images. (ii) The atom form is particularly suited to implementation in modern molecular dynamics simulation codes using spatial decomposition parallel algorithms. (iii) The group form of the virial allows the contributions to the virial to be assigned to individual atoms. © 2009 American Institute of Physics.","author":[{"dropping-particle":"","family":"Thompson","given":"Aidan P.","non-dropping-particle":"","parse-names":false,"suffix":""},{"dropping-particle":"","family":"Plimpton","given":"Steven J.","non-dropping-particle":"","parse-names":false,"suffix":""},{"dropping-particle":"","family":"Mattson","given":"William","non-dropping-particle":"","parse-names":false,"suffix":""}],"container-title":"Journal of Chemical Physics","id":"ITEM-1","issue":"15","issued":{"date-parts":[["2009"]]},"title":"General formulation of pressure and stress tensor for arbitrary many-body interaction potentials under periodic boundary conditions","type":"article-journal","volume":"131"},"uris":["http://www.mendeley.com/documents/?uuid=3a8df6a5-4fc7-49d3-b2f6-a079e4164524"]}],"mendeley":{"formattedCitation":"[27]","plainTextFormattedCitation":"[27]","previouslyFormattedCitation":"[26]"},"properties":{"noteIndex":0},"schema":"https://github.com/citation-style-language/schema/raw/master/csl-citation.json"}</w:instrText>
      </w:r>
      <w:r w:rsidR="00084A57">
        <w:fldChar w:fldCharType="separate"/>
      </w:r>
      <w:r w:rsidR="00E71688" w:rsidRPr="00E71688">
        <w:rPr>
          <w:rFonts w:eastAsiaTheme="minorEastAsia"/>
          <w:noProof/>
        </w:rPr>
        <w:t>[27]</w:t>
      </w:r>
      <w:r w:rsidR="00084A57">
        <w:fldChar w:fldCharType="end"/>
      </w:r>
      <w:r w:rsidR="00084A57">
        <w:rPr>
          <w:rFonts w:eastAsiaTheme="minorEastAsia"/>
        </w:rPr>
        <w:t xml:space="preserve">. Por otro lado, los esfuerzos locales  fueron </w:t>
      </w:r>
      <w:r w:rsidR="00346A3D">
        <w:rPr>
          <w:rFonts w:eastAsiaTheme="minorEastAsia"/>
        </w:rPr>
        <w:t>estimados</w:t>
      </w:r>
      <w:r w:rsidR="00084A57">
        <w:rPr>
          <w:rFonts w:eastAsiaTheme="minorEastAsia"/>
        </w:rPr>
        <w:t xml:space="preserve"> usando la formulación de Hardy propuesta en </w:t>
      </w:r>
      <w:r w:rsidR="00084A57">
        <w:fldChar w:fldCharType="begin" w:fldLock="1"/>
      </w:r>
      <w:r w:rsidR="00E71688">
        <w:instrText>ADDIN CSL_CITATION {"citationItems":[{"id":"ITEM-1","itemData":{"DOI":"10.1063/1.442714","ISSN":"00219606","abstract":"Formulas are given that relate the mass, momentum, and energy densities and the momentum and heat fluxes to the masses, positions, and velocities of the individual particles making up a system. The formulas are similar to those of Irving and Kirkwood, but have forms that are easily implemented in molecular-dynamics simulations. Even when simulating very inhomogeneous phenomena such as shock waves, the densities and fluxes exactly satisfy conservation laws for mass, momentum, and energy. Corrections to the virial formula for the pressure and to the related formulas for the stress tensor and heat flux are obtained. The relationship of the formulas given to those used by others is discussed. © 1982 American Institute of Physics.","author":[{"dropping-particle":"","family":"Hardy","given":"Robert J.","non-dropping-particle":"","parse-names":false,"suffix":""}],"container-title":"The Journal of Chemical Physics","id":"ITEM-1","issue":"1","issued":{"date-parts":[["1982"]]},"page":"622-628","title":"Formulas for determining local properties in molecular-dynamics simulations: Shock waves","type":"article-journal","volume":"76"},"uris":["http://www.mendeley.com/documents/?uuid=4915a673-1b57-45ff-b0c6-8a1146d5f1cb"]}],"mendeley":{"formattedCitation":"[24]","plainTextFormattedCitation":"[24]","previouslyFormattedCitation":"[23]"},"properties":{"noteIndex":0},"schema":"https://github.com/citation-style-language/schema/raw/master/csl-citation.json"}</w:instrText>
      </w:r>
      <w:r w:rsidR="00084A57">
        <w:fldChar w:fldCharType="separate"/>
      </w:r>
      <w:r w:rsidR="00E71688" w:rsidRPr="00E71688">
        <w:rPr>
          <w:rFonts w:eastAsiaTheme="minorEastAsia"/>
          <w:noProof/>
        </w:rPr>
        <w:t>[24]</w:t>
      </w:r>
      <w:r w:rsidR="00084A57">
        <w:fldChar w:fldCharType="end"/>
      </w:r>
      <w:r w:rsidR="00084A57">
        <w:rPr>
          <w:rFonts w:eastAsiaTheme="minorEastAsia"/>
        </w:rPr>
        <w:t xml:space="preserve"> y comparados con la formulación de </w:t>
      </w:r>
      <w:r w:rsidR="001F3C07">
        <w:rPr>
          <w:rFonts w:eastAsiaTheme="minorEastAsia"/>
        </w:rPr>
        <w:t>ATC</w:t>
      </w:r>
      <w:r w:rsidR="00084A57">
        <w:rPr>
          <w:rFonts w:eastAsiaTheme="minorEastAsia"/>
        </w:rPr>
        <w:t xml:space="preserve"> usando el paquete USER-ATC de Lammps.</w:t>
      </w:r>
    </w:p>
    <w:p w14:paraId="76E72BDD" w14:textId="515162AF" w:rsidR="00D67282" w:rsidRDefault="00D67282">
      <w:pPr>
        <w:rPr>
          <w:rFonts w:eastAsiaTheme="minorEastAsia"/>
        </w:rPr>
      </w:pPr>
    </w:p>
    <w:p w14:paraId="4E386D28" w14:textId="465B3321" w:rsidR="00FE1A8E" w:rsidRPr="0021596F" w:rsidRDefault="00A13B3F">
      <w:pPr>
        <w:pStyle w:val="Ttulo2"/>
        <w:numPr>
          <w:ilvl w:val="1"/>
          <w:numId w:val="2"/>
        </w:numPr>
      </w:pPr>
      <w:r w:rsidRPr="00A13B3F">
        <w:t xml:space="preserve"> </w:t>
      </w:r>
      <w:r w:rsidR="00143B21" w:rsidRPr="00143B21">
        <w:t xml:space="preserve"> </w:t>
      </w:r>
      <w:r w:rsidR="00084A57">
        <w:t>formulación de cantidades del continuo con ATC</w:t>
      </w:r>
    </w:p>
    <w:p w14:paraId="65C0879F" w14:textId="2722F0E6" w:rsidR="00FE1A8E" w:rsidRPr="0021596F" w:rsidRDefault="00FE1A8E"/>
    <w:p w14:paraId="261FD4C7" w14:textId="3B5227D3" w:rsidR="00FE1A8E" w:rsidRDefault="00084A57">
      <w:pPr>
        <w:rPr>
          <w:lang w:val="en-US"/>
        </w:rPr>
      </w:pPr>
      <w:proofErr w:type="spellStart"/>
      <w:r>
        <w:t>Resse</w:t>
      </w:r>
      <w:proofErr w:type="spellEnd"/>
      <w:r>
        <w:t xml:space="preserve"> et at. </w:t>
      </w:r>
      <w:r>
        <w:fldChar w:fldCharType="begin" w:fldLock="1"/>
      </w:r>
      <w:r w:rsidR="00E71688">
        <w:instrText>ADDIN CSL_CITATION {"citationItems":[{"id":"ITEM-1","itemData":{"DOI":"DOI 10.1007/978-3-319-33480-6_7","ISBN":"9783319334806","ISSN":"0933033X","author":[{"dropping-particle":"","family":"Jones","given":"Reese E. .","non-dropping-particle":"","parse-names":false,"suffix":""},{"dropping-particle":"","family":"Templeton","given":"Jeremy","non-dropping-particle":"","parse-names":false,"suffix":""},{"dropping-particle":"","family":"Zimmerman","given":"Jonathan.","non-dropping-particle":"","parse-names":false,"suffix":""}],"chapter-number":"7","container-title":"Springer Series in Materials Science","id":"ITEM-1","issued":{"date-parts":[["2016"]]},"page":"441-468","title":"Principles of Coarse-Graining and Coupling Using the Atom-to-Continuum Method","type":"chapter","volume":"245"},"uris":["http://www.mendeley.com/documents/?uuid=eb5b6ff6-fdf7-484d-8f6f-3a4dd5d7e22a"]}],"mendeley":{"formattedCitation":"[28]","plainTextFormattedCitation":"[28]","previouslyFormattedCitation":"[27]"},"properties":{"noteIndex":0},"schema":"https://github.com/citation-style-language/schema/raw/master/csl-citation.json"}</w:instrText>
      </w:r>
      <w:r>
        <w:fldChar w:fldCharType="separate"/>
      </w:r>
      <w:r w:rsidR="00E71688" w:rsidRPr="00E71688">
        <w:rPr>
          <w:noProof/>
        </w:rPr>
        <w:t>[28]</w:t>
      </w:r>
      <w:r>
        <w:fldChar w:fldCharType="end"/>
      </w:r>
      <w:r>
        <w:t xml:space="preserve"> propusieron el método átomo al continuo (ATC), cuya finalidad fue proveer una herramienta para simular y diseñar materiales nanoestructurados. Este método permite simular sistemas en grandes escalas con detalles </w:t>
      </w:r>
      <w:r w:rsidR="001A61F8">
        <w:t>atómicos</w:t>
      </w:r>
      <w:r>
        <w:t xml:space="preserve"> </w:t>
      </w:r>
      <w:r>
        <w:fldChar w:fldCharType="begin" w:fldLock="1"/>
      </w:r>
      <w:r w:rsidR="00E71688">
        <w:instrText>ADDIN CSL_CITATION {"citationItems":[{"id":"ITEM-1","itemData":{"DOI":"10.1088/0965-0393/18/8/085007","ISSN":"09650393","abstract":"This paper derives a methodology to enable spatial and temporal control of thermally inhomogeneous molecular dynamics (MD) simulations. The primary goal is to perform non-equilibrium MD of thermal transport analogous to continuum solutions of heat flow which have complex initial and boundary conditions, moving MD beyond quasi-equilibrium simulations using periodic boundary conditions. In our paradigm, the entire spatial domain is filled with atoms and overlaid with a finite element (FE) mesh. The representation of continuous variables on this mesh allows fixed temperature and fixed heat flux boundary conditions to be applied, non-equilibrium initial conditions to be imposed and source terms to be added to the atomistic system. In effect, the FE mesh defines a large length scale over which atomic quantities can be locally averaged to derive continuous fields. Unlike coupling methods which require a surrogate model of thermal transport like Fourier's law, in this work the FE grid is only employed for its projection, averaging and interpolation properties. Inherent in this approach is the assumption that MD observables of interest, e.g. temperature, can be mapped to a continuous representation in a non-equilibrium setting. This assumption is taken advantage of to derive a single, unified set of control forces based on Gaussian isokinetic thermostats to regulate the temperature and heat flux locally in the MD. Example problems are used to illustrate potential applications. In addition to the physical results, data relevant to understanding the numerical effects of the method on these systems are also presented. © 2010 IOP Publishing Ltd.","author":[{"dropping-particle":"","family":"Templeton","given":"Jeremy A.","non-dropping-particle":"","parse-names":false,"suffix":""},{"dropping-particle":"","family":"Jones","given":"Reese E.","non-dropping-particle":"","parse-names":false,"suffix":""},{"dropping-particle":"","family":"Wagner","given":"Gregory J.","non-dropping-particle":"","parse-names":false,"suffix":""}],"container-title":"Modelling and Simulation in Materials Science and Engineering","id":"ITEM-1","issue":"8","issued":{"date-parts":[["2010"]]},"title":"Application of a field-based method to spatially varying thermal transport problems in molecular dynamics","type":"article-journal","volume":"18"},"uris":["http://www.mendeley.com/documents/?uuid=c8f818b8-37d6-43cf-adc1-5bd9d56b9e2e"]},{"id":"ITEM-2","itemData":{"DOI":"10.1166/jctn.2011.1822","ISSN":"15461955","abstract":"In this work we explore limits of using a functionalized carbon nanotube as a mechanical sensor of small gas-phase molecules. Specifically, we investigate how fast can a change in tip mass be detected and how small a change can be detected as a simplified version of the attachment of weakly-bonded gas phase molecules. Filtering and identification techniques are based on a specialized, parallel Kalman filter, newly developed continuum beam theory and a Langevin model of the thermal vibrations of the carbon nanotube. In this simulation-based work, we account for thermal noise that is intrinsic to the carbon nanotube and the attached substrate but omit detector noise for simplicity. Copyright © 2011 American Scientific Publishers.","author":[{"dropping-particle":"","family":"Jones","given":"Reese E.","non-dropping-particle":"","parse-names":false,"suffix":""},{"dropping-particle":"","family":"Templeton","given":"Jeremy A.","non-dropping-particle":"","parse-names":false,"suffix":""},{"dropping-particle":"","family":"Rebold","given":"Timothy W.","non-dropping-particle":"","parse-names":false,"suffix":""}],"container-title":"Journal of Computational and Theoretical Nanoscience","id":"ITEM-2","issue":"8","issued":{"date-parts":[["2011"]]},"page":"1364-1384","title":"Simulated real-time detection of a small molecule on a carbon nanotube cantilever","type":"article-journal","volume":"8"},"uris":["http://www.mendeley.com/documents/?uuid=24d55432-ede4-401e-9902-ce3d14705cce"]}],"mendeley":{"formattedCitation":"[29], [30]","plainTextFormattedCitation":"[29], [30]","previouslyFormattedCitation":"[28], [29]"},"properties":{"noteIndex":0},"schema":"https://github.com/citation-style-language/schema/raw/master/csl-citation.json"}</w:instrText>
      </w:r>
      <w:r>
        <w:fldChar w:fldCharType="separate"/>
      </w:r>
      <w:r w:rsidR="00E71688" w:rsidRPr="00E71688">
        <w:rPr>
          <w:noProof/>
        </w:rPr>
        <w:t>[29], [30]</w:t>
      </w:r>
      <w:r>
        <w:fldChar w:fldCharType="end"/>
      </w:r>
      <w:r>
        <w:t xml:space="preserve">, el promedio de cantidades </w:t>
      </w:r>
      <w:r w:rsidR="001A61F8">
        <w:t>atómicas</w:t>
      </w:r>
      <w:r>
        <w:t xml:space="preserve"> para estimar cantidades de campo descritas en la formulación y las </w:t>
      </w:r>
      <w:r w:rsidR="001A61F8">
        <w:t>teorías</w:t>
      </w:r>
      <w:r>
        <w:t xml:space="preserve"> del medio continuo (método de grano grueso o </w:t>
      </w:r>
      <w:proofErr w:type="spellStart"/>
      <w:r>
        <w:t>coarse-graining</w:t>
      </w:r>
      <w:proofErr w:type="spellEnd"/>
      <w:r>
        <w:t xml:space="preserve"> en inglés) </w:t>
      </w:r>
      <w:r>
        <w:fldChar w:fldCharType="begin" w:fldLock="1"/>
      </w:r>
      <w:r w:rsidR="00E71688">
        <w:instrText>ADDIN CSL_CITATION {"citationItems":[{"id":"ITEM-1","itemData":{"DOI":"10.1088/0965-0393/12/4/S03","ISSN":"09650393","abstract":"Atomistic simulation is a useful method for studying material science phenomena. Examination of the state of a simulated material and the determination of its mechanical properties is accomplished by inspecting the stress field within the material. However, stress is inherently a continuum concept and has been proven difficult to define in a physically reasonable manner at the atomic scale. In this paper, an expression for continuum mechanical stress in atomistic systems derived by Hardy is compared with the expression for atomic stress taken from the virial theorem. Hardy's stress expression is evaluated at a fixed spatial point and uses a localization function to dictate how nearby atoms contribute to the stress at that point; thereby performing a local spatial averaging. For systems subjected to deformation, finite temperature, or both, the Hardy description of stress as a function of increasing characteristic volume displays a quicker convergence to values expected from continuum theory than volume averages of the local virial stress. Results are presented on extending Hardy's spatial averaging technique to include temporal averaging for finite temperature systems. Finally, the behaviour of Hardy's expression near a free surface is examined, and is found to be consistent with the mechanical definition for stress.","author":[{"dropping-particle":"","family":"Zimmerman","given":"J. A.","non-dropping-particle":"","parse-names":false,"suffix":""},{"dropping-particle":"","family":"Webb","given":"E. B.","non-dropping-particle":"","parse-names":false,"suffix":""},{"dropping-particle":"","family":"Hoyt","given":"J. J.","non-dropping-particle":"","parse-names":false,"suffix":""},{"dropping-particle":"","family":"Jones","given":"R. E.","non-dropping-particle":"","parse-names":false,"suffix":""},{"dropping-particle":"","family":"Klein","given":"P. A.","non-dropping-particle":"","parse-names":false,"suffix":""},{"dropping-particle":"","family":"Bammann","given":"D. J.","non-dropping-particle":"","parse-names":false,"suffix":""}],"container-title":"Modelling and Simulation in Materials Science and Engineering","id":"ITEM-1","issue":"4","issued":{"date-parts":[["2004"]]},"title":"Calculation of stress in atomistic simulation","type":"article-journal","volume":"12"},"uris":["http://www.mendeley.com/documents/?uuid=16cd14b3-cb32-4996-9ccf-c6900b487d6f"]},{"id":"ITEM-2","itemData":{"DOI":"10.1016/j.jmps.2010.06.001","ISSN":"00225096","abstract":"In this work we apply a Lagrangian kernel-based estimator of continuum fields to atomic data in order to estimate the J-integral for the analysis of cracks and dislocations. We show that this method has the properties of: consistency between the energy, stress and deformation fields; path independence of the contour integrals of the Eshelby stress; and excellent correlation with linear elastic fracture mechanics theory for appropriately constructed simulations. We discuss the appropriate reference configuration and reference energy for this type of analysis. Lastly, we use canonical examples to demonstrate that the proposed method is a direct and rational approach for estimating the configurational forces on atomic defects. © 2010 Elsevier Ltd. All rights reserved.","author":[{"dropping-particle":"","family":"Jones","given":"Reese E.","non-dropping-particle":"","parse-names":false,"suffix":""},{"dropping-particle":"","family":"Zimmerman","given":"Jonathan A.","non-dropping-particle":"","parse-names":false,"suffix":""}],"container-title":"Journal of the Mechanics and Physics of Solids","id":"ITEM-2","issue":"9","issued":{"date-parts":[["2010"]]},"page":"1318-1337","publisher":"Elsevier","title":"The construction and application of an atomistic J-integral via Hardy estimates of continuum fields","type":"article-journal","volume":"58"},"uris":["http://www.mendeley.com/documents/?uuid=4911f7d8-c39d-4c73-ac71-5d605464fc5b"]},{"id":"ITEM-3","itemData":{"DOI":"10.1016/j.jcp.2009.11.039","ISSN":"10902716","abstract":"We present a material frame formulation analogous to the spatial frame formulation developed by Hardy, whereby expressions for continuum mechanical variables such as stress and heat flux are derived from atomic-scale quantities intrinsic to molecular simulation. This formulation is ideally suited for developing an atomistic-to-continuum correspondence for solid mechanics problems. We derive expressions for the first Piola-Kirchhoff (P-K) stress tensor and the material frame heat flux vector directly from the momentum and energy balances using localization functions in a reference configuration. The resulting P-K stress tensor, unlike the Cauchy expression, has no explicit kinetic contribution. The referential heat flux vector likewise lacks the kinetic contribution appearing in its spatial frame counterpart. Using a proof for a special case and molecular dynamics simulations, we show that our P-K stress expression nonetheless represents a full measure of stress that is consistent with both the system virial and the Cauchy stress expression developed by Hardy. We also present an expanded formulation to define continuum variables from micromorphic continuum theory, which is suitable for the analysis of materials represented by directional bonding at the atomic scale. © 2009 Elsevier Inc.","author":[{"dropping-particle":"","family":"Zimmerman","given":"Jonathan A.","non-dropping-particle":"","parse-names":false,"suffix":""},{"dropping-particle":"","family":"Jones","given":"Reese E.","non-dropping-particle":"","parse-names":false,"suffix":""},{"dropping-particle":"","family":"Templeton","given":"Jeremy A.","non-dropping-particle":"","parse-names":false,"suffix":""}],"container-title":"Journal of Computational Physics","id":"ITEM-3","issue":"6","issued":{"date-parts":[["2010"]]},"page":"2364-2389","publisher":"Elsevier Inc.","title":"A material frame approach for evaluating continuum variables in atomistic simulations","type":"article-journal","volume":"229"},"uris":["http://www.mendeley.com/documents/?uuid=be0c341f-8bc2-439f-92e8-a0991b69c4fb"]},{"id":"ITEM-4","itemData":{"DOI":"10.1088/0953-8984/23/1/015002","ISSN":"09538984","abstract":"In this work we apply a material-frame, kernel-based estimator of continuum fields to atomic data in order to estimate the J-integral for the analysis of an atomically sharp crack at finite temperatures. Instead of the potential energy appropriate for zero temperature calculations, we employ the quasi-harmonic free energy as an estimator of the Helmholtz free energy required by the Eshelby stress in isothermal conditions. We employ the simplest of the quasi-harmonic models, the local harmonic model of LeSar and co-workers, and verify that it is adequate for correction of the zero temperature J-integral expression for various deformation states for our Lennard-Jones test material. We show that this method has the properties of: consistency among the energy, stress and deformation fields; path independence of the contour integrals of the Eshelby stress; and excellent correlation with linear elastic fracture mechanics theory. © 2011 IOP Publishing Ltd.","author":[{"dropping-particle":"","family":"Jones","given":"R. E.","non-dropping-particle":"","parse-names":false,"suffix":""},{"dropping-particle":"","family":"Zimmerman","given":"J. A.","non-dropping-particle":"","parse-names":false,"suffix":""},{"dropping-particle":"","family":"Oswald","given":"J.","non-dropping-particle":"","parse-names":false,"suffix":""},{"dropping-particle":"","family":"Belytschko","given":"T.","non-dropping-particle":"","parse-names":false,"suffix":""}],"container-title":"Journal of Physics Condensed Matter","id":"ITEM-4","issue":"1","issued":{"date-parts":[["2011"]]},"title":"An atomistic J-integral at finite temperature based on hardy estimates of continuum fields","type":"article-journal","volume":"23"},"uris":["http://www.mendeley.com/documents/?uuid=86333525-1265-4a4a-9ace-b53eb5acedaf"]},{"id":"ITEM-5","itemData":{"DOI":"10.1088/0953-8984/25/15/155402","ISSN":"09538984","abstract":"In this work we apply a Lagrangian kernel-based estimator of continuum fields to atomic data to estimate the J-integral for the emission dislocations from a crack tip. Face-centered cubic (fcc) gold and body-centered cubic (bcc) iron modeled with embedded atom method (EAM) potentials are used as example systems. The results of a single crack with a K-loading compare well to an analytical solution from anisotropic linear elastic fracture mechanics. We also discovered that in the post-emission of dislocations from the crack tip there is a loop size-dependent contribution to the J-integral. For a system with a finite width crack loaded in simple tension, the finite size effects for the systems that were feasible to compute prevented precise agreement with theory. However, our results indicate that there is a trend towards convergence. © 2013 IOP Publishing Ltd.","author":[{"dropping-particle":"","family":"Zimmerman","given":"Jonathan A.","non-dropping-particle":"","parse-names":false,"suffix":""},{"dropping-particle":"","family":"Jones","given":"Reese E.","non-dropping-particle":"","parse-names":false,"suffix":""}],"container-title":"Journal of Physics Condensed Matter","id":"ITEM-5","issue":"15","issued":{"date-parts":[["2013"]]},"title":"The application of an atomistic J-integral to a ductile crack","type":"article-journal","volume":"25"},"uris":["http://www.mendeley.com/documents/?uuid=8b51cd5e-2d30-425c-be1b-76013aaf2ea3"]}],"mendeley":{"formattedCitation":"[31]–[35]","plainTextFormattedCitation":"[31]–[35]","previouslyFormattedCitation":"[30]–[34]"},"properties":{"noteIndex":0},"schema":"https://github.com/citation-style-language/schema/raw/master/csl-citation.json"}</w:instrText>
      </w:r>
      <w:r>
        <w:fldChar w:fldCharType="separate"/>
      </w:r>
      <w:r w:rsidR="00E71688" w:rsidRPr="00E71688">
        <w:rPr>
          <w:noProof/>
        </w:rPr>
        <w:t>[31]–[35]</w:t>
      </w:r>
      <w:r>
        <w:fldChar w:fldCharType="end"/>
      </w:r>
      <w:r>
        <w:t xml:space="preserve"> y el acoplamiento de los cálculos de dinámica molecular y elementos finitos </w:t>
      </w:r>
      <w:r>
        <w:fldChar w:fldCharType="begin" w:fldLock="1"/>
      </w:r>
      <w:r w:rsidR="00E71688">
        <w:instrText>ADDIN CSL_CITATION {"citationItems":[{"id":"ITEM-1","itemData":{"DOI":"10.1016/j.cma.2008.02.004","ISSN":"00457825","abstract":"In this work, we present a seamless, energy-conserving method to couple atomistic and continuum representations of a temperature field in a material. This technique allows a molecular dynamics simulation to be used in localized regions of the computational domain, surrounded and overlaid by a continuum finite element representation. Thermal energy can pass between the two regions in either direction, making larger simulations of nano-scale thermal processes possible. We discuss theoretical developments and numerical implementation details. In addition, we present and analyze a set of representative simulations.","author":[{"dropping-particle":"","family":"Wagner","given":"G. J.","non-dropping-particle":"","parse-names":false,"suffix":""},{"dropping-particle":"","family":"Jones","given":"R. E.","non-dropping-particle":"","parse-names":false,"suffix":""},{"dropping-particle":"","family":"Templeton","given":"J. A.","non-dropping-particle":"","parse-names":false,"suffix":""},{"dropping-particle":"","family":"Parks","given":"M. L.","non-dropping-particle":"","parse-names":false,"suffix":""}],"container-title":"Computer Methods in Applied Mechanics and Engineering","id":"ITEM-1","issue":"41-42","issued":{"date-parts":[["2008"]]},"page":"3351-3365","title":"An atomistic-to-continuum coupling method for heat transfer in solids","type":"article-journal","volume":"197"},"uris":["http://www.mendeley.com/documents/?uuid=97cc7a86-0c21-4515-8ac7-f62b6692f909"]}],"mendeley":{"formattedCitation":"[36]","plainTextFormattedCitation":"[36]","previouslyFormattedCitation":"[35]"},"properties":{"noteIndex":0},"schema":"https://github.com/citation-style-language/schema/raw/master/csl-citation.json"}</w:instrText>
      </w:r>
      <w:r>
        <w:fldChar w:fldCharType="separate"/>
      </w:r>
      <w:r w:rsidR="00E71688" w:rsidRPr="00E71688">
        <w:rPr>
          <w:noProof/>
        </w:rPr>
        <w:t>[36]</w:t>
      </w:r>
      <w:r>
        <w:fldChar w:fldCharType="end"/>
      </w:r>
      <w:r>
        <w:t xml:space="preserve">. </w:t>
      </w:r>
    </w:p>
    <w:p w14:paraId="2E328CFE" w14:textId="77777777" w:rsidR="00FE1A8E" w:rsidRDefault="00FE1A8E">
      <w:pPr>
        <w:rPr>
          <w:lang w:val="en-US"/>
        </w:rPr>
      </w:pPr>
    </w:p>
    <w:p w14:paraId="6457B6AD" w14:textId="77777777" w:rsidR="00FE1A8E" w:rsidRDefault="00084A57">
      <w:pPr>
        <w:pStyle w:val="Ttulo3"/>
        <w:numPr>
          <w:ilvl w:val="2"/>
          <w:numId w:val="2"/>
        </w:numPr>
        <w:rPr>
          <w:lang w:val="en-US"/>
        </w:rPr>
      </w:pPr>
      <w:r>
        <w:t>Esfuerzos locales</w:t>
      </w:r>
    </w:p>
    <w:p w14:paraId="1407F2DA" w14:textId="77777777" w:rsidR="00FE1A8E" w:rsidRDefault="00FE1A8E">
      <w:pPr>
        <w:rPr>
          <w:lang w:val="en-US"/>
        </w:rPr>
      </w:pPr>
    </w:p>
    <w:p w14:paraId="0FFC4D2C" w14:textId="4C7177EC" w:rsidR="00FE1A8E" w:rsidRDefault="00084A57">
      <w:pPr>
        <w:rPr>
          <w:rFonts w:eastAsiaTheme="minorEastAsia"/>
          <w:b/>
          <w:bCs/>
        </w:rPr>
      </w:pPr>
      <w:r>
        <w:t xml:space="preserve">El método de grano grueso o </w:t>
      </w:r>
      <w:proofErr w:type="spellStart"/>
      <w:r>
        <w:t>coarse-graining</w:t>
      </w:r>
      <w:proofErr w:type="spellEnd"/>
      <w:r>
        <w:t xml:space="preserve"> consiste en un promedio de cantidades </w:t>
      </w:r>
      <w:r w:rsidR="001A61F8">
        <w:t>atómicas</w:t>
      </w:r>
      <w:r>
        <w:t xml:space="preserve"> para estimar campos </w:t>
      </w:r>
      <w:r w:rsidR="001A61F8">
        <w:t>físicos</w:t>
      </w:r>
      <w:r>
        <w:t xml:space="preserve"> definidos en las </w:t>
      </w:r>
      <w:r w:rsidR="001A61F8">
        <w:t>teorías</w:t>
      </w:r>
      <w:r>
        <w:t xml:space="preserve"> de la </w:t>
      </w:r>
      <w:r w:rsidR="001A61F8">
        <w:t>mecánica</w:t>
      </w:r>
      <w:r>
        <w:t xml:space="preserve"> del medio continuo. Es </w:t>
      </w:r>
      <w:r w:rsidR="001A61F8">
        <w:t>así</w:t>
      </w:r>
      <w:r>
        <w:t xml:space="preserve"> como, ATC provee una alternativa para el </w:t>
      </w:r>
      <w:r w:rsidR="00D3597D">
        <w:t>cálculo</w:t>
      </w:r>
      <w:r>
        <w:t xml:space="preserve"> del campo de esfuerzos locales, en este caso, para una superposición completa de los dos dominios </w:t>
      </w:r>
      <w:r w:rsidR="001A61F8">
        <w:t>atomístico</w:t>
      </w:r>
      <w:r>
        <w:t xml:space="preserve">-continuo. El método multiescala ATC configura una modificación de la </w:t>
      </w:r>
      <w:r>
        <w:t xml:space="preserve">formulación original de Hardy, basada en una configuración Euleriana/espacial que permite el </w:t>
      </w:r>
      <w:r w:rsidR="00D3597D">
        <w:t>cálculo</w:t>
      </w:r>
      <w:r>
        <w:t xml:space="preserve"> del esfuerzo de Cauchy </w:t>
      </w:r>
      <m:oMath>
        <m:r>
          <w:rPr>
            <w:rFonts w:ascii="Cambria Math" w:hAnsi="Cambria Math"/>
          </w:rPr>
          <m:t>σ</m:t>
        </m:r>
      </m:oMath>
      <w:r>
        <w:rPr>
          <w:rFonts w:eastAsiaTheme="minorEastAsia"/>
          <w:b/>
          <w:bCs/>
        </w:rPr>
        <w:t xml:space="preserve">. </w:t>
      </w:r>
      <w:r>
        <w:rPr>
          <w:rFonts w:eastAsiaTheme="minorEastAsia"/>
        </w:rPr>
        <w:t xml:space="preserve">No obstante, ATC representa en su formulación una configuración Lagrangiana/material, particularmente, predilecta en la </w:t>
      </w:r>
      <w:r w:rsidR="00095020">
        <w:rPr>
          <w:rFonts w:eastAsiaTheme="minorEastAsia"/>
        </w:rPr>
        <w:t>mecánica</w:t>
      </w:r>
      <w:r>
        <w:rPr>
          <w:rFonts w:eastAsiaTheme="minorEastAsia"/>
        </w:rPr>
        <w:t xml:space="preserve"> de </w:t>
      </w:r>
      <w:r w:rsidR="00D3597D">
        <w:rPr>
          <w:rFonts w:eastAsiaTheme="minorEastAsia"/>
        </w:rPr>
        <w:t>sólidos</w:t>
      </w:r>
      <w:r>
        <w:rPr>
          <w:rFonts w:eastAsiaTheme="minorEastAsia"/>
        </w:rPr>
        <w:t xml:space="preserve"> y en las </w:t>
      </w:r>
      <w:r w:rsidR="00095020">
        <w:rPr>
          <w:rFonts w:eastAsiaTheme="minorEastAsia"/>
        </w:rPr>
        <w:t>teorías</w:t>
      </w:r>
      <w:r>
        <w:rPr>
          <w:rFonts w:eastAsiaTheme="minorEastAsia"/>
        </w:rPr>
        <w:t xml:space="preserve"> del medio continuo. En este caso, debido a su configuración permite el </w:t>
      </w:r>
      <w:r w:rsidR="00D3597D">
        <w:rPr>
          <w:rFonts w:eastAsiaTheme="minorEastAsia"/>
        </w:rPr>
        <w:t>cálculo</w:t>
      </w:r>
      <w:r>
        <w:rPr>
          <w:rFonts w:eastAsiaTheme="minorEastAsia"/>
        </w:rPr>
        <w:t xml:space="preserve"> del primer tensor de esfuerzos de Piola-Kirchoff </w:t>
      </w:r>
      <m:oMath>
        <m:r>
          <w:rPr>
            <w:rFonts w:ascii="Cambria Math" w:hAnsi="Cambria Math"/>
          </w:rPr>
          <m:t>S</m:t>
        </m:r>
      </m:oMath>
      <w:r>
        <w:rPr>
          <w:rFonts w:eastAsiaTheme="minorEastAsia"/>
          <w:b/>
          <w:bCs/>
        </w:rPr>
        <w:t xml:space="preserve"> </w:t>
      </w:r>
      <w:r>
        <w:rPr>
          <w:rFonts w:eastAsiaTheme="minorEastAsia"/>
        </w:rPr>
        <w:t>desarrollado por Zimmerman et al en</w:t>
      </w:r>
      <w:r>
        <w:rPr>
          <w:rFonts w:eastAsiaTheme="minorEastAsia"/>
          <w:b/>
          <w:bCs/>
        </w:rPr>
        <w:t xml:space="preserve"> </w:t>
      </w:r>
      <w:r>
        <w:fldChar w:fldCharType="begin" w:fldLock="1"/>
      </w:r>
      <w:r w:rsidR="00E71688">
        <w:rPr>
          <w:b/>
          <w:bCs/>
        </w:rPr>
        <w:instrText>ADDIN CSL_CITATION {"citationItems":[{"id":"ITEM-1","itemData":{"DOI":"10.1016/j.jcp.2009.11.039","ISSN":"10902716","abstract":"We present a material frame formulation analogous to the spatial frame formulation developed by Hardy, whereby expressions for continuum mechanical variables such as stress and heat flux are derived from atomic-scale quantities intrinsic to molecular simulation. This formulation is ideally suited for developing an atomistic-to-continuum correspondence for solid mechanics problems. We derive expressions for the first Piola-Kirchhoff (P-K) stress tensor and the material frame heat flux vector directly from the momentum and energy balances using localization functions in a reference configuration. The resulting P-K stress tensor, unlike the Cauchy expression, has no explicit kinetic contribution. The referential heat flux vector likewise lacks the kinetic contribution appearing in its spatial frame counterpart. Using a proof for a special case and molecular dynamics simulations, we show that our P-K stress expression nonetheless represents a full measure of stress that is consistent with both the system virial and the Cauchy stress expression developed by Hardy. We also present an expanded formulation to define continuum variables from micromorphic continuum theory, which is suitable for the analysis of materials represented by directional bonding at the atomic scale. © 2009 Elsevier Inc.","author":[{"dropping-particle":"","family":"Zimmerman","given":"Jonathan A.","non-dropping-particle":"","parse-names":false,"suffix":""},{"dropping-particle":"","family":"Jones","given":"Reese E.","non-dropping-particle":"","parse-names":false,"suffix":""},{"dropping-particle":"","family":"Templeton","given":"Jeremy A.","non-dropping-particle":"","parse-names":false,"suffix":""}],"container-title":"Journal of Computational Physics","id":"ITEM-1","issue":"6","issued":{"date-parts":[["2010"]]},"page":"2364-2389","publisher":"Elsevier Inc.","title":"A material frame approach for evaluating continuum variables in atomistic simulations","type":"article-journal","volume":"229"},"uris":["http://www.mendeley.com/documents/?uuid=be0c341f-8bc2-439f-92e8-a0991b69c4fb"]}],"mendeley":{"formattedCitation":"[33]","plainTextFormattedCitation":"[33]","previouslyFormattedCitation":"[32]"},"properties":{"noteIndex":0},"schema":"https://github.com/citation-style-language/schema/raw/master/csl-citation.json"}</w:instrText>
      </w:r>
      <w:r>
        <w:rPr>
          <w:b/>
          <w:bCs/>
        </w:rPr>
        <w:fldChar w:fldCharType="separate"/>
      </w:r>
      <w:r w:rsidR="00E71688" w:rsidRPr="00E71688">
        <w:rPr>
          <w:rFonts w:eastAsiaTheme="minorEastAsia"/>
          <w:bCs/>
          <w:noProof/>
        </w:rPr>
        <w:t>[33]</w:t>
      </w:r>
      <w:r>
        <w:rPr>
          <w:b/>
          <w:bCs/>
        </w:rPr>
        <w:fldChar w:fldCharType="end"/>
      </w:r>
      <w:r>
        <w:rPr>
          <w:rFonts w:eastAsiaTheme="minorEastAsia"/>
          <w:b/>
          <w:bCs/>
        </w:rPr>
        <w:t xml:space="preserve"> y </w:t>
      </w:r>
      <w:r>
        <w:rPr>
          <w:rFonts w:eastAsiaTheme="minorEastAsia"/>
        </w:rPr>
        <w:t>basado en la formulación de Hardy.</w:t>
      </w:r>
      <w:r>
        <w:rPr>
          <w:rFonts w:eastAsiaTheme="minorEastAsia"/>
          <w:b/>
          <w:bCs/>
        </w:rPr>
        <w:t xml:space="preserve"> </w:t>
      </w:r>
    </w:p>
    <w:p w14:paraId="5D293865" w14:textId="77777777" w:rsidR="00FE1A8E" w:rsidRDefault="00FE1A8E">
      <w:pPr>
        <w:rPr>
          <w:rFonts w:eastAsiaTheme="minorEastAsia"/>
          <w:b/>
          <w:bCs/>
        </w:rPr>
      </w:pPr>
    </w:p>
    <w:p w14:paraId="1165695D" w14:textId="53779932" w:rsidR="00FE1A8E" w:rsidRDefault="00084A57">
      <w:pPr>
        <w:rPr>
          <w:lang w:bidi="en-US"/>
        </w:rPr>
      </w:pPr>
      <w:r>
        <w:rPr>
          <w:lang w:bidi="en-US"/>
        </w:rPr>
        <w:t xml:space="preserve">El caso de grano grueso implementa el método de </w:t>
      </w:r>
      <w:r w:rsidR="00095020">
        <w:rPr>
          <w:lang w:bidi="en-US"/>
        </w:rPr>
        <w:t>mínimos</w:t>
      </w:r>
      <w:r>
        <w:rPr>
          <w:lang w:bidi="en-US"/>
        </w:rPr>
        <w:t xml:space="preserve"> cuadrados para minimizar la diferencia entre la densidad de masa </w:t>
      </w:r>
      <w:r w:rsidR="00095020">
        <w:rPr>
          <w:lang w:bidi="en-US"/>
        </w:rPr>
        <w:t>microscópica</w:t>
      </w:r>
      <w:r>
        <w:rPr>
          <w:lang w:bidi="en-US"/>
        </w:rPr>
        <w:t xml:space="preserve"> </w:t>
      </w:r>
      <m:oMath>
        <m:sSup>
          <m:sSupPr>
            <m:ctrlPr>
              <w:rPr>
                <w:rFonts w:ascii="Cambria Math" w:hAnsi="Cambria Math"/>
              </w:rPr>
            </m:ctrlPr>
          </m:sSupPr>
          <m:e>
            <m:r>
              <w:rPr>
                <w:rFonts w:ascii="Cambria Math" w:hAnsi="Cambria Math"/>
              </w:rPr>
              <m:t>ϱ</m:t>
            </m:r>
          </m:e>
          <m:sup>
            <m:r>
              <w:rPr>
                <w:rFonts w:ascii="Cambria Math" w:hAnsi="Cambria Math"/>
              </w:rPr>
              <m:t>*</m:t>
            </m:r>
          </m:sup>
        </m:sSup>
      </m:oMath>
      <w:r>
        <w:rPr>
          <w:rFonts w:eastAsiaTheme="minorEastAsia"/>
          <w:lang w:bidi="en-US"/>
        </w:rPr>
        <w:t xml:space="preserve"> y su aproximación </w:t>
      </w:r>
      <m:oMath>
        <m:nary>
          <m:naryPr>
            <m:chr m:val="∑"/>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sSub>
              <m:sSubPr>
                <m:ctrlPr>
                  <w:rPr>
                    <w:rFonts w:ascii="Cambria Math" w:hAnsi="Cambria Math"/>
                  </w:rPr>
                </m:ctrlPr>
              </m:sSubPr>
              <m:e>
                <m:r>
                  <w:rPr>
                    <w:rFonts w:ascii="Cambria Math" w:hAnsi="Cambria Math"/>
                  </w:rPr>
                  <m:t>ϱ</m:t>
                </m:r>
              </m:e>
              <m:sub>
                <m:r>
                  <w:rPr>
                    <w:rFonts w:ascii="Cambria Math" w:hAnsi="Cambria Math"/>
                  </w:rPr>
                  <m:t>I</m:t>
                </m:r>
              </m:sub>
            </m:sSub>
            <m:d>
              <m:dPr>
                <m:ctrlPr>
                  <w:rPr>
                    <w:rFonts w:ascii="Cambria Math" w:hAnsi="Cambria Math"/>
                  </w:rPr>
                </m:ctrlPr>
              </m:dPr>
              <m:e>
                <m:r>
                  <w:rPr>
                    <w:rFonts w:ascii="Cambria Math" w:hAnsi="Cambria Math"/>
                  </w:rPr>
                  <m:t>t</m:t>
                </m:r>
              </m:e>
            </m:d>
          </m:e>
        </m:nary>
      </m:oMath>
      <w:r>
        <w:rPr>
          <w:rFonts w:eastAsiaTheme="minorEastAsia"/>
          <w:lang w:bidi="en-US"/>
        </w:rPr>
        <w:t xml:space="preserve"> basada en la descripción del medio continuo.</w:t>
      </w:r>
      <w:r>
        <w:rPr>
          <w:lang w:bidi="en-US"/>
        </w:rPr>
        <w:t xml:space="preserve"> </w:t>
      </w:r>
    </w:p>
    <w:p w14:paraId="7A87D31F" w14:textId="77777777" w:rsidR="00FE1A8E" w:rsidRDefault="00FE1A8E">
      <w:pPr>
        <w:rPr>
          <w:lang w:bidi="en-US"/>
        </w:rPr>
      </w:pPr>
    </w:p>
    <w:tbl>
      <w:tblPr>
        <w:tblStyle w:val="Tablaconcuadrcula"/>
        <w:tblW w:w="4649" w:type="dxa"/>
        <w:tblLook w:val="04A0" w:firstRow="1" w:lastRow="0" w:firstColumn="1" w:lastColumn="0" w:noHBand="0" w:noVBand="1"/>
      </w:tblPr>
      <w:tblGrid>
        <w:gridCol w:w="4649"/>
      </w:tblGrid>
      <w:tr w:rsidR="00FE1A8E" w14:paraId="78293AB3" w14:textId="77777777">
        <w:trPr>
          <w:trHeight w:val="567"/>
        </w:trPr>
        <w:tc>
          <w:tcPr>
            <w:tcW w:w="4649" w:type="dxa"/>
            <w:tcBorders>
              <w:top w:val="nil"/>
              <w:left w:val="nil"/>
              <w:bottom w:val="nil"/>
              <w:right w:val="nil"/>
            </w:tcBorders>
          </w:tcPr>
          <w:p w14:paraId="47BB5142" w14:textId="750DF1A5" w:rsidR="00FE1A8E" w:rsidRDefault="00691556">
            <w:pPr>
              <w:jc w:val="left"/>
              <w:rPr>
                <w:lang w:bidi="en-US"/>
              </w:rPr>
            </w:pPr>
            <m:oMath>
              <m:eqArr>
                <m:eqArrPr>
                  <m:ctrlPr>
                    <w:rPr>
                      <w:rFonts w:ascii="Cambria Math" w:hAnsi="Cambria Math"/>
                    </w:rPr>
                  </m:ctrlPr>
                </m:eqArrPr>
                <m:e>
                  <m:r>
                    <w:rPr>
                      <w:rFonts w:ascii="Cambria Math" w:hAnsi="Cambria Math"/>
                    </w:rPr>
                    <m:t>min</m:t>
                  </m:r>
                </m:e>
                <m:e>
                  <m:sSub>
                    <m:sSubPr>
                      <m:ctrlPr>
                        <w:rPr>
                          <w:rFonts w:ascii="Cambria Math" w:hAnsi="Cambria Math"/>
                        </w:rPr>
                      </m:ctrlPr>
                    </m:sSubPr>
                    <m:e>
                      <m:r>
                        <w:rPr>
                          <w:rFonts w:ascii="Cambria Math" w:hAnsi="Cambria Math"/>
                        </w:rPr>
                        <m:t>ϱ</m:t>
                      </m:r>
                    </m:e>
                    <m:sub>
                      <m:r>
                        <w:rPr>
                          <w:rFonts w:ascii="Cambria Math" w:hAnsi="Cambria Math"/>
                        </w:rPr>
                        <m:t>I</m:t>
                      </m:r>
                    </m:sub>
                  </m:sSub>
                </m:e>
              </m:eqArr>
              <m:sSub>
                <m:sSubPr>
                  <m:ctrlPr>
                    <w:rPr>
                      <w:rFonts w:ascii="Cambria Math" w:hAnsi="Cambria Math"/>
                    </w:rPr>
                  </m:ctrlPr>
                </m:sSubPr>
                <m:e>
                  <m:r>
                    <w:rPr>
                      <w:rFonts w:ascii="Cambria Math" w:hAnsi="Cambria Math"/>
                    </w:rPr>
                    <m:t>∫</m:t>
                  </m:r>
                </m:e>
                <m:sub>
                  <m:r>
                    <w:rPr>
                      <w:rFonts w:ascii="Cambria Math" w:hAnsi="Cambria Math"/>
                    </w:rPr>
                    <m:t>Ω</m:t>
                  </m:r>
                </m:sub>
              </m:sSub>
              <m:r>
                <w:rPr>
                  <w:rFonts w:ascii="Cambria Math" w:hAnsi="Cambria Math"/>
                </w:rPr>
                <m:t>∥</m:t>
              </m:r>
              <m:sSup>
                <m:sSupPr>
                  <m:ctrlPr>
                    <w:rPr>
                      <w:rFonts w:ascii="Cambria Math" w:hAnsi="Cambria Math"/>
                    </w:rPr>
                  </m:ctrlPr>
                </m:sSupPr>
                <m:e>
                  <m:r>
                    <w:rPr>
                      <w:rFonts w:ascii="Cambria Math" w:hAnsi="Cambria Math"/>
                    </w:rPr>
                    <m:t>ϱ</m:t>
                  </m:r>
                </m:e>
                <m:sup>
                  <m:r>
                    <w:rPr>
                      <w:rFonts w:ascii="Cambria Math" w:hAnsi="Cambria Math"/>
                    </w:rPr>
                    <m:t>*</m:t>
                  </m:r>
                </m:sup>
              </m:sSup>
              <m:r>
                <w:rPr>
                  <w:rFonts w:ascii="Cambria Math" w:hAnsi="Cambria Math"/>
                </w:rPr>
                <m:t>-</m:t>
              </m:r>
              <m:nary>
                <m:naryPr>
                  <m:chr m:val="∑"/>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ϱ</m:t>
                      </m:r>
                    </m:e>
                    <m:sub>
                      <m:r>
                        <w:rPr>
                          <w:rFonts w:ascii="Cambria Math" w:hAnsi="Cambria Math"/>
                        </w:rPr>
                        <m:t>I</m:t>
                      </m:r>
                    </m:sub>
                  </m:sSub>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dV⟺</m:t>
                  </m:r>
                  <m:nary>
                    <m:naryPr>
                      <m:chr m:val="∑"/>
                      <m:supHide m:val="1"/>
                      <m:ctrlPr>
                        <w:rPr>
                          <w:rFonts w:ascii="Cambria Math" w:hAnsi="Cambria Math"/>
                        </w:rPr>
                      </m:ctrlPr>
                    </m:naryPr>
                    <m:sub>
                      <m:r>
                        <w:rPr>
                          <w:rFonts w:ascii="Cambria Math" w:hAnsi="Cambria Math"/>
                        </w:rPr>
                        <m:t>j</m:t>
                      </m:r>
                    </m:sub>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m:t>
                              </m:r>
                            </m:e>
                            <m:sub>
                              <m:r>
                                <w:rPr>
                                  <w:rFonts w:ascii="Cambria Math" w:hAnsi="Cambria Math"/>
                                </w:rPr>
                                <m:t>Ω</m:t>
                              </m:r>
                            </m:sub>
                          </m:sSub>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N</m:t>
                              </m:r>
                            </m:e>
                            <m:sub>
                              <m:r>
                                <w:rPr>
                                  <w:rFonts w:ascii="Cambria Math" w:hAnsi="Cambria Math"/>
                                </w:rPr>
                                <m:t>J</m:t>
                              </m:r>
                            </m:sub>
                          </m:sSub>
                          <m:r>
                            <w:rPr>
                              <w:rFonts w:ascii="Cambria Math" w:hAnsi="Cambria Math"/>
                            </w:rPr>
                            <m:t>dV</m:t>
                          </m:r>
                        </m:e>
                      </m:d>
                      <m:sSub>
                        <m:sSubPr>
                          <m:ctrlPr>
                            <w:rPr>
                              <w:rFonts w:ascii="Cambria Math" w:hAnsi="Cambria Math"/>
                            </w:rPr>
                          </m:ctrlPr>
                        </m:sSubPr>
                        <m:e>
                          <m:r>
                            <w:rPr>
                              <w:rFonts w:ascii="Cambria Math" w:hAnsi="Cambria Math"/>
                            </w:rPr>
                            <m:t>ϱ</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Ω</m:t>
                          </m:r>
                        </m:sub>
                      </m:sSub>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ϱdV</m:t>
                      </m:r>
                    </m:e>
                  </m:nary>
                </m:e>
              </m:nary>
            </m:oMath>
            <w:r w:rsidR="00084A57">
              <w:t>,                                                             (1)</w:t>
            </w:r>
            <w:bookmarkStart w:id="1" w:name="_Hlk109494324"/>
            <w:bookmarkEnd w:id="1"/>
          </w:p>
        </w:tc>
      </w:tr>
    </w:tbl>
    <w:p w14:paraId="60BDCA2E" w14:textId="77777777" w:rsidR="00FE1A8E" w:rsidRDefault="00FE1A8E">
      <w:pPr>
        <w:rPr>
          <w:lang w:bidi="en-US"/>
        </w:rPr>
      </w:pPr>
    </w:p>
    <w:p w14:paraId="6C0228F1" w14:textId="6A66AF2E" w:rsidR="00FE1A8E" w:rsidRDefault="00084A57">
      <w:pPr>
        <w:rPr>
          <w:rFonts w:eastAsiaTheme="minorEastAsia"/>
          <w:lang w:bidi="en-US"/>
        </w:rPr>
      </w:pPr>
      <w:r>
        <w:rPr>
          <w:lang w:bidi="en-US"/>
        </w:rPr>
        <w:t xml:space="preserve">Dónde </w:t>
      </w:r>
      <m:oMath>
        <m:r>
          <w:rPr>
            <w:rFonts w:ascii="Cambria Math" w:hAnsi="Cambria Math"/>
          </w:rPr>
          <m:t>I</m:t>
        </m:r>
      </m:oMath>
      <w:r>
        <w:rPr>
          <w:rFonts w:eastAsiaTheme="minorEastAsia"/>
          <w:lang w:bidi="en-US"/>
        </w:rPr>
        <w:t xml:space="preserve"> y </w:t>
      </w:r>
      <m:oMath>
        <m:r>
          <w:rPr>
            <w:rFonts w:ascii="Cambria Math" w:hAnsi="Cambria Math"/>
          </w:rPr>
          <m:t>J</m:t>
        </m:r>
      </m:oMath>
      <w:r>
        <w:rPr>
          <w:rFonts w:eastAsiaTheme="minorEastAsia"/>
          <w:lang w:bidi="en-US"/>
        </w:rPr>
        <w:t xml:space="preserve"> representan los nodos y </w:t>
      </w:r>
      <m:oMath>
        <m:sSub>
          <m:sSubPr>
            <m:ctrlPr>
              <w:rPr>
                <w:rFonts w:ascii="Cambria Math" w:hAnsi="Cambria Math"/>
              </w:rPr>
            </m:ctrlPr>
          </m:sSubPr>
          <m:e>
            <m:r>
              <w:rPr>
                <w:rFonts w:ascii="Cambria Math" w:hAnsi="Cambria Math"/>
              </w:rPr>
              <m:t>N</m:t>
            </m:r>
          </m:e>
          <m:sub>
            <m:r>
              <w:rPr>
                <w:rFonts w:ascii="Cambria Math" w:hAnsi="Cambria Math"/>
              </w:rPr>
              <m:t>I</m:t>
            </m:r>
          </m:sub>
        </m:sSub>
      </m:oMath>
      <w:r>
        <w:rPr>
          <w:rFonts w:eastAsiaTheme="minorEastAsia"/>
          <w:lang w:bidi="en-US"/>
        </w:rPr>
        <w:t xml:space="preserve"> y </w:t>
      </w:r>
      <m:oMath>
        <m:sSub>
          <m:sSubPr>
            <m:ctrlPr>
              <w:rPr>
                <w:rFonts w:ascii="Cambria Math" w:hAnsi="Cambria Math"/>
              </w:rPr>
            </m:ctrlPr>
          </m:sSubPr>
          <m:e>
            <m:r>
              <w:rPr>
                <w:rFonts w:ascii="Cambria Math" w:hAnsi="Cambria Math"/>
              </w:rPr>
              <m:t>N</m:t>
            </m:r>
          </m:e>
          <m:sub>
            <m:r>
              <w:rPr>
                <w:rFonts w:ascii="Cambria Math" w:hAnsi="Cambria Math"/>
              </w:rPr>
              <m:t>J</m:t>
            </m:r>
          </m:sub>
        </m:sSub>
      </m:oMath>
      <w:r>
        <w:rPr>
          <w:rFonts w:eastAsiaTheme="minorEastAsia"/>
          <w:lang w:bidi="en-US"/>
        </w:rPr>
        <w:t xml:space="preserve"> son las </w:t>
      </w:r>
      <w:r w:rsidR="00D3597D">
        <w:rPr>
          <w:rFonts w:eastAsiaTheme="minorEastAsia"/>
          <w:lang w:bidi="en-US"/>
        </w:rPr>
        <w:t>correspondientes bases</w:t>
      </w:r>
      <w:r>
        <w:rPr>
          <w:rFonts w:eastAsiaTheme="minorEastAsia"/>
          <w:lang w:bidi="en-US"/>
        </w:rPr>
        <w:t xml:space="preserve">. La densidad de masa </w:t>
      </w:r>
      <w:r w:rsidR="00095020">
        <w:rPr>
          <w:rFonts w:eastAsiaTheme="minorEastAsia"/>
          <w:lang w:bidi="en-US"/>
        </w:rPr>
        <w:t>microscópica</w:t>
      </w:r>
      <w:r>
        <w:rPr>
          <w:rFonts w:eastAsiaTheme="minorEastAsia"/>
          <w:lang w:bidi="en-US"/>
        </w:rPr>
        <w:t xml:space="preserve"> es </w:t>
      </w:r>
      <w:r w:rsidR="00095020">
        <w:rPr>
          <w:rFonts w:eastAsiaTheme="minorEastAsia"/>
          <w:lang w:bidi="en-US"/>
        </w:rPr>
        <w:t>definida</w:t>
      </w:r>
      <w:r>
        <w:rPr>
          <w:rFonts w:eastAsiaTheme="minorEastAsia"/>
          <w:lang w:bidi="en-US"/>
        </w:rPr>
        <w:t xml:space="preserve"> como sigue:</w:t>
      </w:r>
    </w:p>
    <w:p w14:paraId="29E98469" w14:textId="77777777" w:rsidR="00FE1A8E" w:rsidRDefault="00FE1A8E">
      <w:pPr>
        <w:rPr>
          <w:rFonts w:eastAsiaTheme="minorEastAsia"/>
          <w:lang w:bidi="en-US"/>
        </w:rPr>
      </w:pPr>
    </w:p>
    <w:tbl>
      <w:tblPr>
        <w:tblStyle w:val="Tablaconcuadrcula"/>
        <w:tblW w:w="4649" w:type="dxa"/>
        <w:tblLook w:val="04A0" w:firstRow="1" w:lastRow="0" w:firstColumn="1" w:lastColumn="0" w:noHBand="0" w:noVBand="1"/>
      </w:tblPr>
      <w:tblGrid>
        <w:gridCol w:w="4649"/>
      </w:tblGrid>
      <w:tr w:rsidR="00FE1A8E" w14:paraId="7D45DCCD" w14:textId="77777777">
        <w:trPr>
          <w:trHeight w:val="340"/>
        </w:trPr>
        <w:tc>
          <w:tcPr>
            <w:tcW w:w="4649" w:type="dxa"/>
            <w:tcBorders>
              <w:top w:val="nil"/>
              <w:left w:val="nil"/>
              <w:bottom w:val="nil"/>
              <w:right w:val="nil"/>
            </w:tcBorders>
          </w:tcPr>
          <w:p w14:paraId="7E89887B" w14:textId="5C8BAA37" w:rsidR="00FE1A8E" w:rsidRDefault="00691556">
            <w:pPr>
              <w:jc w:val="left"/>
              <w:rPr>
                <w:lang w:bidi="en-US"/>
              </w:rPr>
            </w:pPr>
            <m:oMath>
              <m:sSup>
                <m:sSupPr>
                  <m:ctrlPr>
                    <w:rPr>
                      <w:rFonts w:ascii="Cambria Math" w:hAnsi="Cambria Math"/>
                    </w:rPr>
                  </m:ctrlPr>
                </m:sSupPr>
                <m:e>
                  <m:r>
                    <w:rPr>
                      <w:rFonts w:ascii="Cambria Math" w:hAnsi="Cambria Math"/>
                    </w:rPr>
                    <m:t>ϱ</m:t>
                  </m:r>
                </m:e>
                <m:sup>
                  <m:r>
                    <w:rPr>
                      <w:rFonts w:ascii="Cambria Math" w:hAnsi="Cambria Math"/>
                    </w:rPr>
                    <m:t>*</m:t>
                  </m:r>
                </m:sup>
              </m:sSup>
              <m:d>
                <m:dPr>
                  <m:ctrlPr>
                    <w:rPr>
                      <w:rFonts w:ascii="Cambria Math" w:hAnsi="Cambria Math"/>
                    </w:rPr>
                  </m:ctrlPr>
                </m:dPr>
                <m:e>
                  <m:r>
                    <w:rPr>
                      <w:rFonts w:ascii="Cambria Math" w:hAnsi="Cambria Math"/>
                    </w:rPr>
                    <m:t>x,t</m:t>
                  </m:r>
                </m:e>
              </m:d>
              <m:r>
                <w:rPr>
                  <w:rFonts w:ascii="Cambria Math" w:hAnsi="Cambria Math"/>
                </w:rPr>
                <m:t>=</m:t>
              </m:r>
              <m:nary>
                <m:naryPr>
                  <m:chr m:val="∑"/>
                  <m:supHide m:val="1"/>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m</m:t>
                      </m:r>
                    </m:e>
                    <m:sub>
                      <m:r>
                        <w:rPr>
                          <w:rFonts w:ascii="Cambria Math" w:hAnsi="Cambria Math"/>
                        </w:rPr>
                        <m:t>α</m:t>
                      </m:r>
                    </m:sub>
                  </m:sSub>
                  <m:r>
                    <w:rPr>
                      <w:rFonts w:ascii="Cambria Math" w:hAnsi="Cambria Math"/>
                    </w:rPr>
                    <m:t>δ</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α</m:t>
                          </m:r>
                        </m:sub>
                      </m:sSub>
                      <m:d>
                        <m:dPr>
                          <m:ctrlPr>
                            <w:rPr>
                              <w:rFonts w:ascii="Cambria Math" w:hAnsi="Cambria Math"/>
                            </w:rPr>
                          </m:ctrlPr>
                        </m:dPr>
                        <m:e>
                          <m:r>
                            <w:rPr>
                              <w:rFonts w:ascii="Cambria Math" w:hAnsi="Cambria Math"/>
                            </w:rPr>
                            <m:t>t</m:t>
                          </m:r>
                        </m:e>
                      </m:d>
                    </m:e>
                  </m:d>
                </m:e>
              </m:nary>
            </m:oMath>
            <w:r w:rsidR="00084A57">
              <w:t>,                          (2)</w:t>
            </w:r>
          </w:p>
        </w:tc>
      </w:tr>
    </w:tbl>
    <w:p w14:paraId="7C34AA11" w14:textId="77777777" w:rsidR="00FE1A8E" w:rsidRDefault="00FE1A8E">
      <w:pPr>
        <w:rPr>
          <w:lang w:bidi="en-US"/>
        </w:rPr>
      </w:pPr>
    </w:p>
    <w:p w14:paraId="0B6D4949" w14:textId="5AE519F3" w:rsidR="00FE1A8E" w:rsidRDefault="00084A57">
      <w:pPr>
        <w:rPr>
          <w:lang w:bidi="en-US"/>
        </w:rPr>
      </w:pPr>
      <w:r>
        <w:rPr>
          <w:lang w:bidi="en-US"/>
        </w:rPr>
        <w:t xml:space="preserve">Cuya expresión está en </w:t>
      </w:r>
      <w:r w:rsidR="001A61F8">
        <w:rPr>
          <w:lang w:bidi="en-US"/>
        </w:rPr>
        <w:t>términos</w:t>
      </w:r>
      <w:r>
        <w:rPr>
          <w:lang w:bidi="en-US"/>
        </w:rPr>
        <w:t xml:space="preserve"> de cantidades </w:t>
      </w:r>
      <w:r w:rsidR="001A61F8">
        <w:rPr>
          <w:lang w:bidi="en-US"/>
        </w:rPr>
        <w:t>atómicas</w:t>
      </w:r>
      <w:r>
        <w:rPr>
          <w:lang w:bidi="en-US"/>
        </w:rPr>
        <w:t xml:space="preserve">, dónde </w:t>
      </w:r>
      <m:oMath>
        <m:sSub>
          <m:sSubPr>
            <m:ctrlPr>
              <w:rPr>
                <w:rFonts w:ascii="Cambria Math" w:hAnsi="Cambria Math"/>
              </w:rPr>
            </m:ctrlPr>
          </m:sSubPr>
          <m:e>
            <m:r>
              <w:rPr>
                <w:rFonts w:ascii="Cambria Math" w:hAnsi="Cambria Math"/>
              </w:rPr>
              <m:t>m</m:t>
            </m:r>
          </m:e>
          <m:sub>
            <m:r>
              <w:rPr>
                <w:rFonts w:ascii="Cambria Math" w:hAnsi="Cambria Math"/>
              </w:rPr>
              <m:t>α</m:t>
            </m:r>
          </m:sub>
        </m:sSub>
      </m:oMath>
      <w:r>
        <w:rPr>
          <w:rFonts w:eastAsiaTheme="minorEastAsia"/>
          <w:lang w:bidi="en-US"/>
        </w:rPr>
        <w:t xml:space="preserve"> es la masa de los átomos y </w:t>
      </w:r>
      <m:oMath>
        <m:r>
          <w:rPr>
            <w:rFonts w:ascii="Cambria Math" w:hAnsi="Cambria Math"/>
          </w:rPr>
          <m:t>δ</m:t>
        </m:r>
      </m:oMath>
      <w:r>
        <w:rPr>
          <w:rFonts w:eastAsiaTheme="minorEastAsia"/>
          <w:lang w:bidi="en-US"/>
        </w:rPr>
        <w:t xml:space="preserve"> es el operador delta de Dirac. Mientras, </w:t>
      </w:r>
      <m:oMath>
        <m:r>
          <w:rPr>
            <w:rFonts w:ascii="Cambria Math" w:hAnsi="Cambria Math"/>
          </w:rPr>
          <m:t>x</m:t>
        </m:r>
      </m:oMath>
      <w:r>
        <w:rPr>
          <w:rFonts w:eastAsiaTheme="minorEastAsia"/>
          <w:b/>
          <w:lang w:bidi="en-US"/>
        </w:rPr>
        <w:t xml:space="preserve"> </w:t>
      </w:r>
      <w:r>
        <w:rPr>
          <w:rFonts w:eastAsiaTheme="minorEastAsia"/>
          <w:bCs/>
          <w:lang w:bidi="en-US"/>
        </w:rPr>
        <w:t>y</w:t>
      </w:r>
      <w:r>
        <w:rPr>
          <w:rFonts w:eastAsiaTheme="minorEastAsia"/>
          <w:b/>
          <w:lang w:bidi="en-US"/>
        </w:rPr>
        <w:t xml:space="preserve"> </w:t>
      </w:r>
      <m:oMath>
        <m:sSub>
          <m:sSubPr>
            <m:ctrlPr>
              <w:rPr>
                <w:rFonts w:ascii="Cambria Math" w:hAnsi="Cambria Math"/>
              </w:rPr>
            </m:ctrlPr>
          </m:sSubPr>
          <m:e>
            <m:r>
              <w:rPr>
                <w:rFonts w:ascii="Cambria Math" w:hAnsi="Cambria Math"/>
              </w:rPr>
              <m:t>x</m:t>
            </m:r>
          </m:e>
          <m:sub>
            <m:r>
              <w:rPr>
                <w:rFonts w:ascii="Cambria Math" w:hAnsi="Cambria Math"/>
              </w:rPr>
              <m:t>α</m:t>
            </m:r>
          </m:sub>
        </m:sSub>
      </m:oMath>
      <w:r>
        <w:rPr>
          <w:rFonts w:eastAsiaTheme="minorEastAsia"/>
          <w:lang w:bidi="en-US"/>
        </w:rPr>
        <w:t xml:space="preserve"> representan los puntos en el campo continuo y las posiciones de los atomos, respectivamente. Tomando la ecuacion (1) y (2) se resuelve: </w:t>
      </w:r>
    </w:p>
    <w:p w14:paraId="7AA139C7" w14:textId="77777777" w:rsidR="00FE1A8E" w:rsidRDefault="00FE1A8E">
      <w:pPr>
        <w:rPr>
          <w:lang w:bidi="en-US"/>
        </w:rPr>
      </w:pPr>
    </w:p>
    <w:p w14:paraId="16327358" w14:textId="77777777" w:rsidR="00FE1A8E" w:rsidRDefault="00691556">
      <w:pPr>
        <w:jc w:val="right"/>
        <w:rPr>
          <w:lang w:bidi="en-US"/>
        </w:rPr>
      </w:pPr>
      <m:oMath>
        <m:nary>
          <m:naryPr>
            <m:chr m:val="∑"/>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limLow>
                  <m:limLowPr>
                    <m:ctrlPr>
                      <w:rPr>
                        <w:rFonts w:ascii="Cambria Math" w:hAnsi="Cambria Math"/>
                      </w:rPr>
                    </m:ctrlPr>
                  </m:limLowPr>
                  <m:e>
                    <m:groupChr>
                      <m:groupChrPr>
                        <m:ctrlPr>
                          <w:rPr>
                            <w:rFonts w:ascii="Cambria Math" w:hAnsi="Cambria Math"/>
                          </w:rPr>
                        </m:ctrlPr>
                      </m:groupChrPr>
                      <m:e>
                        <m:d>
                          <m:dPr>
                            <m:begChr m:val="["/>
                            <m:endChr m:val="]"/>
                            <m:ctrlPr>
                              <w:rPr>
                                <w:rFonts w:ascii="Cambria Math" w:hAnsi="Cambria Math"/>
                              </w:rPr>
                            </m:ctrlPr>
                          </m:dPr>
                          <m:e>
                            <m:sSub>
                              <m:sSubPr>
                                <m:ctrlPr>
                                  <w:rPr>
                                    <w:rFonts w:ascii="Cambria Math" w:hAnsi="Cambria Math"/>
                                  </w:rPr>
                                </m:ctrlPr>
                              </m:sSubPr>
                              <m:e>
                                <m:r>
                                  <w:rPr>
                                    <w:rFonts w:ascii="Cambria Math" w:hAnsi="Cambria Math"/>
                                  </w:rPr>
                                  <m:t>∫</m:t>
                                </m:r>
                              </m:e>
                              <m:sub>
                                <m:r>
                                  <w:rPr>
                                    <w:rFonts w:ascii="Cambria Math" w:hAnsi="Cambria Math"/>
                                  </w:rPr>
                                  <m:t>Ω</m:t>
                                </m:r>
                              </m:sub>
                            </m:sSub>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N</m:t>
                                </m:r>
                              </m:e>
                              <m:sub>
                                <m:r>
                                  <w:rPr>
                                    <w:rFonts w:ascii="Cambria Math" w:hAnsi="Cambria Math"/>
                                  </w:rPr>
                                  <m:t>J</m:t>
                                </m:r>
                              </m:sub>
                            </m:sSub>
                            <m:r>
                              <w:rPr>
                                <w:rFonts w:ascii="Cambria Math" w:hAnsi="Cambria Math"/>
                              </w:rPr>
                              <m:t>dV</m:t>
                            </m:r>
                          </m:e>
                        </m:d>
                      </m:e>
                    </m:groupChr>
                  </m:e>
                  <m:lim>
                    <m:sSub>
                      <m:sSubPr>
                        <m:ctrlPr>
                          <w:rPr>
                            <w:rFonts w:ascii="Cambria Math" w:hAnsi="Cambria Math"/>
                          </w:rPr>
                        </m:ctrlPr>
                      </m:sSubPr>
                      <m:e>
                        <m:r>
                          <w:rPr>
                            <w:rFonts w:ascii="Cambria Math" w:hAnsi="Cambria Math"/>
                          </w:rPr>
                          <m:t>M</m:t>
                        </m:r>
                      </m:e>
                      <m:sub>
                        <m:r>
                          <w:rPr>
                            <w:rFonts w:ascii="Cambria Math" w:hAnsi="Cambria Math"/>
                          </w:rPr>
                          <m:t>IJ</m:t>
                        </m:r>
                      </m:sub>
                    </m:sSub>
                  </m:lim>
                </m:limLow>
                <m:r>
                  <w:rPr>
                    <w:rFonts w:ascii="Cambria Math" w:hAnsi="Cambria Math"/>
                  </w:rPr>
                  <m:t>ϱ</m:t>
                </m:r>
              </m:e>
              <m:sub>
                <m:r>
                  <w:rPr>
                    <w:rFonts w:ascii="Cambria Math" w:hAnsi="Cambria Math"/>
                  </w:rPr>
                  <m:t>J</m:t>
                </m:r>
              </m:sub>
            </m:sSub>
            <m:r>
              <w:rPr>
                <w:rFonts w:ascii="Cambria Math" w:hAnsi="Cambria Math"/>
              </w:rPr>
              <m:t>=</m:t>
            </m:r>
            <m:nary>
              <m:naryPr>
                <m:chr m:val="∑"/>
                <m:supHide m:val="1"/>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N</m:t>
                    </m:r>
                  </m:e>
                  <m:sub>
                    <m:r>
                      <w:rPr>
                        <w:rFonts w:ascii="Cambria Math" w:hAnsi="Cambria Math"/>
                      </w:rPr>
                      <m:t>I</m:t>
                    </m:r>
                  </m:sub>
                </m:sSub>
              </m:e>
            </m:nary>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α</m:t>
                    </m:r>
                  </m:sub>
                </m:sSub>
              </m:e>
            </m:d>
            <m:sSub>
              <m:sSubPr>
                <m:ctrlPr>
                  <w:rPr>
                    <w:rFonts w:ascii="Cambria Math" w:hAnsi="Cambria Math"/>
                  </w:rPr>
                </m:ctrlPr>
              </m:sSubPr>
              <m:e>
                <m:r>
                  <w:rPr>
                    <w:rFonts w:ascii="Cambria Math" w:hAnsi="Cambria Math"/>
                  </w:rPr>
                  <m:t>m</m:t>
                </m:r>
              </m:e>
              <m:sub>
                <m:r>
                  <w:rPr>
                    <w:rFonts w:ascii="Cambria Math" w:hAnsi="Cambria Math"/>
                  </w:rPr>
                  <m:t>α</m:t>
                </m:r>
              </m:sub>
            </m:sSub>
            <m:r>
              <w:rPr>
                <w:rFonts w:ascii="Cambria Math" w:hAnsi="Cambria Math"/>
              </w:rPr>
              <m:t>=</m:t>
            </m:r>
            <m:nary>
              <m:naryPr>
                <m:chr m:val="∑"/>
                <m:supHide m:val="1"/>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N</m:t>
                    </m:r>
                  </m:e>
                  <m:sub>
                    <m:r>
                      <w:rPr>
                        <w:rFonts w:ascii="Cambria Math" w:hAnsi="Cambria Math"/>
                      </w:rPr>
                      <m:t>Iα</m:t>
                    </m:r>
                  </m:sub>
                </m:sSub>
              </m:e>
            </m:nary>
            <m:sSub>
              <m:sSubPr>
                <m:ctrlPr>
                  <w:rPr>
                    <w:rFonts w:ascii="Cambria Math" w:hAnsi="Cambria Math"/>
                  </w:rPr>
                </m:ctrlPr>
              </m:sSubPr>
              <m:e>
                <m:r>
                  <w:rPr>
                    <w:rFonts w:ascii="Cambria Math" w:hAnsi="Cambria Math"/>
                  </w:rPr>
                  <m:t>m</m:t>
                </m:r>
              </m:e>
              <m:sub>
                <m:r>
                  <w:rPr>
                    <w:rFonts w:ascii="Cambria Math" w:hAnsi="Cambria Math"/>
                  </w:rPr>
                  <m:t>α</m:t>
                </m:r>
              </m:sub>
            </m:sSub>
          </m:e>
        </m:nary>
      </m:oMath>
      <w:r w:rsidR="00084A57">
        <w:t>, (3)</w:t>
      </w:r>
    </w:p>
    <w:p w14:paraId="287FA7C0" w14:textId="77777777" w:rsidR="00FE1A8E" w:rsidRDefault="00FE1A8E">
      <w:pPr>
        <w:rPr>
          <w:lang w:bidi="en-US"/>
        </w:rPr>
      </w:pPr>
    </w:p>
    <w:p w14:paraId="44532DBE" w14:textId="3C92F9ED" w:rsidR="00FE1A8E" w:rsidRDefault="00084A57">
      <w:pPr>
        <w:rPr>
          <w:rFonts w:eastAsiaTheme="minorEastAsia"/>
          <w:lang w:bidi="en-US"/>
        </w:rPr>
      </w:pPr>
      <w:r>
        <w:rPr>
          <w:lang w:bidi="en-US"/>
        </w:rPr>
        <w:t xml:space="preserve">Dónde </w:t>
      </w:r>
      <m:oMath>
        <m:sSub>
          <m:sSubPr>
            <m:ctrlPr>
              <w:rPr>
                <w:rFonts w:ascii="Cambria Math" w:hAnsi="Cambria Math"/>
              </w:rPr>
            </m:ctrlPr>
          </m:sSubPr>
          <m:e>
            <m:r>
              <w:rPr>
                <w:rFonts w:ascii="Cambria Math" w:hAnsi="Cambria Math"/>
              </w:rPr>
              <m:t>N</m:t>
            </m:r>
          </m:e>
          <m:sub>
            <m:r>
              <w:rPr>
                <w:rFonts w:ascii="Cambria Math" w:hAnsi="Cambria Math"/>
              </w:rPr>
              <m:t>Iα</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α</m:t>
                </m:r>
              </m:sub>
            </m:sSub>
          </m:e>
        </m:d>
      </m:oMath>
      <w:r>
        <w:rPr>
          <w:rFonts w:eastAsiaTheme="minorEastAsia"/>
          <w:lang w:bidi="en-US"/>
        </w:rPr>
        <w:t xml:space="preserve"> es la base evaluada en las posiciones </w:t>
      </w:r>
      <w:r w:rsidR="001A61F8">
        <w:rPr>
          <w:rFonts w:eastAsiaTheme="minorEastAsia"/>
          <w:lang w:bidi="en-US"/>
        </w:rPr>
        <w:t>atómicas</w:t>
      </w:r>
      <w:r>
        <w:rPr>
          <w:rFonts w:eastAsiaTheme="minorEastAsia"/>
          <w:lang w:bidi="en-US"/>
        </w:rPr>
        <w:t xml:space="preserve"> y </w:t>
      </w:r>
      <m:oMath>
        <m:sSub>
          <m:sSubPr>
            <m:ctrlPr>
              <w:rPr>
                <w:rFonts w:ascii="Cambria Math" w:hAnsi="Cambria Math"/>
              </w:rPr>
            </m:ctrlPr>
          </m:sSubPr>
          <m:e>
            <m:r>
              <w:rPr>
                <w:rFonts w:ascii="Cambria Math" w:hAnsi="Cambria Math"/>
              </w:rPr>
              <m:t>M</m:t>
            </m:r>
          </m:e>
          <m:sub>
            <m:r>
              <w:rPr>
                <w:rFonts w:ascii="Cambria Math" w:hAnsi="Cambria Math"/>
              </w:rPr>
              <m:t>IJ</m:t>
            </m:r>
          </m:sub>
        </m:sSub>
      </m:oMath>
      <w:r>
        <w:rPr>
          <w:rFonts w:eastAsiaTheme="minorEastAsia"/>
          <w:lang w:bidi="en-US"/>
        </w:rPr>
        <w:t xml:space="preserve"> es la matriz de masa. La densidad de masa en los nodos puede ser obtenida con la proyección de la ecuación (3) como se indica:</w:t>
      </w:r>
    </w:p>
    <w:p w14:paraId="460EA651" w14:textId="77777777" w:rsidR="00FE1A8E" w:rsidRDefault="00FE1A8E">
      <w:pPr>
        <w:rPr>
          <w:rFonts w:eastAsiaTheme="minorEastAsia"/>
          <w:lang w:bidi="en-US"/>
        </w:rPr>
      </w:pPr>
    </w:p>
    <w:p w14:paraId="3B0F5887" w14:textId="2B3F848A" w:rsidR="00FE1A8E" w:rsidRDefault="00691556">
      <w:pPr>
        <w:rPr>
          <w:lang w:bidi="en-US"/>
        </w:rPr>
      </w:pPr>
      <m:oMath>
        <m:sSub>
          <m:sSubPr>
            <m:ctrlPr>
              <w:rPr>
                <w:rFonts w:ascii="Cambria Math" w:hAnsi="Cambria Math"/>
              </w:rPr>
            </m:ctrlPr>
          </m:sSubPr>
          <m:e>
            <m:r>
              <w:rPr>
                <w:rFonts w:ascii="Cambria Math" w:hAnsi="Cambria Math"/>
              </w:rPr>
              <m:t>ϱ</m:t>
            </m:r>
          </m:e>
          <m:sub>
            <m:r>
              <w:rPr>
                <w:rFonts w:ascii="Cambria Math" w:hAnsi="Cambria Math"/>
              </w:rPr>
              <m:t>I</m:t>
            </m:r>
          </m:sub>
        </m:sSub>
        <m:r>
          <w:rPr>
            <w:rFonts w:ascii="Cambria Math" w:hAnsi="Cambria Math"/>
          </w:rPr>
          <m:t>=</m:t>
        </m:r>
        <m:nary>
          <m:naryPr>
            <m:chr m:val="∑"/>
            <m:supHide m:val="1"/>
            <m:ctrlPr>
              <w:rPr>
                <w:rFonts w:ascii="Cambria Math" w:hAnsi="Cambria Math"/>
              </w:rPr>
            </m:ctrlPr>
          </m:naryPr>
          <m:sub>
            <m:r>
              <w:rPr>
                <w:rFonts w:ascii="Cambria Math" w:hAnsi="Cambria Math"/>
              </w:rPr>
              <m:t>J,α</m:t>
            </m:r>
          </m:sub>
          <m:sup/>
          <m:e>
            <m:sSup>
              <m:sSupPr>
                <m:ctrlPr>
                  <w:rPr>
                    <w:rFonts w:ascii="Cambria Math" w:hAnsi="Cambria Math"/>
                  </w:rPr>
                </m:ctrlPr>
              </m:sSupPr>
              <m:e>
                <m:sSub>
                  <m:sSubPr>
                    <m:ctrlPr>
                      <w:rPr>
                        <w:rFonts w:ascii="Cambria Math" w:hAnsi="Cambria Math"/>
                      </w:rPr>
                    </m:ctrlPr>
                  </m:sSubPr>
                  <m:e>
                    <m:r>
                      <w:rPr>
                        <w:rFonts w:ascii="Cambria Math" w:hAnsi="Cambria Math"/>
                      </w:rPr>
                      <m:t>M</m:t>
                    </m:r>
                  </m:e>
                  <m:sub>
                    <m:r>
                      <w:rPr>
                        <w:rFonts w:ascii="Cambria Math" w:hAnsi="Cambria Math"/>
                      </w:rPr>
                      <m:t>IJ</m:t>
                    </m:r>
                  </m:sub>
                </m:sSub>
              </m:e>
              <m:sup>
                <m:r>
                  <w:rPr>
                    <w:rFonts w:ascii="Cambria Math" w:hAnsi="Cambria Math"/>
                  </w:rPr>
                  <m:t>-1</m:t>
                </m:r>
              </m:sup>
            </m:sSup>
          </m:e>
        </m:nary>
        <m:sSub>
          <m:sSubPr>
            <m:ctrlPr>
              <w:rPr>
                <w:rFonts w:ascii="Cambria Math" w:hAnsi="Cambria Math"/>
              </w:rPr>
            </m:ctrlPr>
          </m:sSubPr>
          <m:e>
            <m:r>
              <w:rPr>
                <w:rFonts w:ascii="Cambria Math" w:hAnsi="Cambria Math"/>
              </w:rPr>
              <m:t>N</m:t>
            </m:r>
          </m:e>
          <m:sub>
            <m:r>
              <w:rPr>
                <w:rFonts w:ascii="Cambria Math" w:hAnsi="Cambria Math"/>
              </w:rPr>
              <m:t>Jα</m:t>
            </m:r>
          </m:sub>
        </m:sSub>
        <m:sSub>
          <m:sSubPr>
            <m:ctrlPr>
              <w:rPr>
                <w:rFonts w:ascii="Cambria Math" w:hAnsi="Cambria Math"/>
              </w:rPr>
            </m:ctrlPr>
          </m:sSubPr>
          <m:e>
            <m:r>
              <w:rPr>
                <w:rFonts w:ascii="Cambria Math" w:hAnsi="Cambria Math"/>
              </w:rPr>
              <m:t>m</m:t>
            </m:r>
          </m:e>
          <m:sub>
            <m:r>
              <w:rPr>
                <w:rFonts w:ascii="Cambria Math" w:hAnsi="Cambria Math"/>
              </w:rPr>
              <m:t>α</m:t>
            </m:r>
          </m:sub>
        </m:sSub>
        <m:r>
          <w:rPr>
            <w:rFonts w:ascii="Cambria Math" w:hAnsi="Cambria Math"/>
          </w:rPr>
          <m:t>=</m:t>
        </m:r>
        <m:nary>
          <m:naryPr>
            <m:chr m:val="∑"/>
            <m:supHide m:val="1"/>
            <m:ctrlPr>
              <w:rPr>
                <w:rFonts w:ascii="Cambria Math" w:hAnsi="Cambria Math"/>
              </w:rPr>
            </m:ctrlPr>
          </m:naryPr>
          <m:sub>
            <m:r>
              <w:rPr>
                <w:rFonts w:ascii="Cambria Math" w:hAnsi="Cambria Math"/>
              </w:rPr>
              <m:t>α</m:t>
            </m:r>
          </m:sub>
          <m:sup/>
          <m:e>
            <m:sSub>
              <m:sSubPr>
                <m:ctrlPr>
                  <w:rPr>
                    <w:rFonts w:ascii="Cambria Math" w:hAnsi="Cambria Math"/>
                  </w:rPr>
                </m:ctrlPr>
              </m:sSubPr>
              <m:e>
                <m:r>
                  <w:rPr>
                    <w:rFonts w:ascii="Cambria Math" w:hAnsi="Cambria Math"/>
                  </w:rPr>
                  <m:t>Δ</m:t>
                </m:r>
              </m:e>
              <m:sub>
                <m:r>
                  <w:rPr>
                    <w:rFonts w:ascii="Cambria Math" w:hAnsi="Cambria Math"/>
                  </w:rPr>
                  <m:t>Iα</m:t>
                </m:r>
              </m:sub>
            </m:sSub>
          </m:e>
        </m:nary>
        <m:sSub>
          <m:sSubPr>
            <m:ctrlPr>
              <w:rPr>
                <w:rFonts w:ascii="Cambria Math" w:hAnsi="Cambria Math"/>
              </w:rPr>
            </m:ctrlPr>
          </m:sSubPr>
          <m:e>
            <m:r>
              <w:rPr>
                <w:rFonts w:ascii="Cambria Math" w:hAnsi="Cambria Math"/>
              </w:rPr>
              <m:t>m</m:t>
            </m:r>
          </m:e>
          <m:sub>
            <m:r>
              <w:rPr>
                <w:rFonts w:ascii="Cambria Math" w:hAnsi="Cambria Math"/>
              </w:rPr>
              <m:t>α</m:t>
            </m:r>
          </m:sub>
        </m:sSub>
      </m:oMath>
      <w:r w:rsidR="00084A57">
        <w:t>,                          (4)</w:t>
      </w:r>
    </w:p>
    <w:p w14:paraId="56C40A7C" w14:textId="77777777" w:rsidR="00FE1A8E" w:rsidRDefault="00FE1A8E">
      <w:pPr>
        <w:rPr>
          <w:lang w:bidi="en-US"/>
        </w:rPr>
      </w:pPr>
    </w:p>
    <w:p w14:paraId="39D30FEA" w14:textId="3F6CF5FA" w:rsidR="00FE1A8E" w:rsidRDefault="00084A57">
      <w:pPr>
        <w:rPr>
          <w:lang w:bidi="en-US"/>
        </w:rPr>
      </w:pPr>
      <w:r>
        <w:rPr>
          <w:lang w:bidi="en-US"/>
        </w:rPr>
        <w:t xml:space="preserve">Un </w:t>
      </w:r>
      <w:r w:rsidR="00302C08">
        <w:rPr>
          <w:lang w:bidi="en-US"/>
        </w:rPr>
        <w:t>término</w:t>
      </w:r>
      <w:r>
        <w:rPr>
          <w:lang w:bidi="en-US"/>
        </w:rPr>
        <w:t xml:space="preserve"> importante es presentado, que se encargará de la localización de la información </w:t>
      </w:r>
      <w:r w:rsidR="001A61F8">
        <w:rPr>
          <w:lang w:bidi="en-US"/>
        </w:rPr>
        <w:t>atómica</w:t>
      </w:r>
      <w:r>
        <w:rPr>
          <w:lang w:bidi="en-US"/>
        </w:rPr>
        <w:t xml:space="preserve"> en nodos </w:t>
      </w:r>
      <w:r w:rsidR="001A61F8">
        <w:rPr>
          <w:lang w:bidi="en-US"/>
        </w:rPr>
        <w:t>específicos</w:t>
      </w:r>
      <w:r>
        <w:rPr>
          <w:lang w:bidi="en-US"/>
        </w:rPr>
        <w:t xml:space="preserve">. Una función de localización </w:t>
      </w:r>
      <m:oMath>
        <m:sSub>
          <m:sSubPr>
            <m:ctrlPr>
              <w:rPr>
                <w:rFonts w:ascii="Cambria Math" w:hAnsi="Cambria Math"/>
              </w:rPr>
            </m:ctrlPr>
          </m:sSubPr>
          <m:e>
            <m:r>
              <w:rPr>
                <w:rFonts w:ascii="Cambria Math" w:hAnsi="Cambria Math"/>
              </w:rPr>
              <m:t>Δ</m:t>
            </m:r>
          </m:e>
          <m:sub>
            <m:r>
              <w:rPr>
                <w:rFonts w:ascii="Cambria Math" w:hAnsi="Cambria Math"/>
              </w:rPr>
              <m:t>I</m:t>
            </m:r>
          </m:sub>
        </m:sSub>
        <m:r>
          <w:rPr>
            <w:rFonts w:ascii="Cambria Math" w:hAnsi="Cambria Math"/>
          </w:rPr>
          <m:t>=</m:t>
        </m:r>
        <m:nary>
          <m:naryPr>
            <m:chr m:val="∑"/>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sSup>
                  <m:sSupPr>
                    <m:ctrlPr>
                      <w:rPr>
                        <w:rFonts w:ascii="Cambria Math" w:hAnsi="Cambria Math"/>
                      </w:rPr>
                    </m:ctrlPr>
                  </m:sSupPr>
                  <m:e>
                    <m:sSub>
                      <m:sSubPr>
                        <m:ctrlPr>
                          <w:rPr>
                            <w:rFonts w:ascii="Cambria Math" w:hAnsi="Cambria Math"/>
                          </w:rPr>
                        </m:ctrlPr>
                      </m:sSubPr>
                      <m:e>
                        <m:r>
                          <w:rPr>
                            <w:rFonts w:ascii="Cambria Math" w:hAnsi="Cambria Math"/>
                          </w:rPr>
                          <m:t>M</m:t>
                        </m:r>
                      </m:e>
                      <m:sub>
                        <m:r>
                          <w:rPr>
                            <w:rFonts w:ascii="Cambria Math" w:hAnsi="Cambria Math"/>
                          </w:rPr>
                          <m:t>IJ</m:t>
                        </m:r>
                      </m:sub>
                    </m:sSub>
                  </m:e>
                  <m:sup>
                    <m:r>
                      <w:rPr>
                        <w:rFonts w:ascii="Cambria Math" w:hAnsi="Cambria Math"/>
                      </w:rPr>
                      <m:t>-1</m:t>
                    </m:r>
                  </m:sup>
                </m:sSup>
                <m:r>
                  <w:rPr>
                    <w:rFonts w:ascii="Cambria Math" w:hAnsi="Cambria Math"/>
                  </w:rPr>
                  <m:t>N</m:t>
                </m:r>
              </m:e>
              <m:sub>
                <m:r>
                  <w:rPr>
                    <w:rFonts w:ascii="Cambria Math" w:hAnsi="Cambria Math"/>
                  </w:rPr>
                  <m:t>J</m:t>
                </m:r>
              </m:sub>
            </m:sSub>
          </m:e>
        </m:nary>
      </m:oMath>
      <w:r>
        <w:rPr>
          <w:rFonts w:eastAsiaTheme="minorEastAsia"/>
          <w:lang w:bidi="en-US"/>
        </w:rPr>
        <w:t xml:space="preserve"> con </w:t>
      </w:r>
      <m:oMath>
        <m:sSub>
          <m:sSubPr>
            <m:ctrlPr>
              <w:rPr>
                <w:rFonts w:ascii="Cambria Math" w:hAnsi="Cambria Math"/>
              </w:rPr>
            </m:ctrlPr>
          </m:sSubPr>
          <m:e>
            <m:r>
              <w:rPr>
                <w:rFonts w:ascii="Cambria Math" w:hAnsi="Cambria Math"/>
              </w:rPr>
              <m:t>Δ</m:t>
            </m:r>
          </m:e>
          <m:sub>
            <m:r>
              <w:rPr>
                <w:rFonts w:ascii="Cambria Math" w:hAnsi="Cambria Math"/>
              </w:rPr>
              <m:t>Iα</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α</m:t>
                </m:r>
              </m:sub>
            </m:sSub>
          </m:e>
        </m:d>
      </m:oMath>
      <w:r>
        <w:rPr>
          <w:lang w:bidi="en-US"/>
        </w:rPr>
        <w:t xml:space="preserve">. Una vez los nodos obtienen sus valores respectivos, las bases son usadas para interpolar los campos en el continuo. </w:t>
      </w:r>
    </w:p>
    <w:p w14:paraId="711647D1" w14:textId="77777777" w:rsidR="00FE1A8E" w:rsidRDefault="00FE1A8E">
      <w:pPr>
        <w:rPr>
          <w:lang w:bidi="en-US"/>
        </w:rPr>
      </w:pPr>
    </w:p>
    <w:tbl>
      <w:tblPr>
        <w:tblStyle w:val="Tablaconcuadrcula"/>
        <w:tblW w:w="4365" w:type="dxa"/>
        <w:tblLook w:val="04A0" w:firstRow="1" w:lastRow="0" w:firstColumn="1" w:lastColumn="0" w:noHBand="0" w:noVBand="1"/>
      </w:tblPr>
      <w:tblGrid>
        <w:gridCol w:w="4365"/>
      </w:tblGrid>
      <w:tr w:rsidR="00FE1A8E" w14:paraId="41257D4D" w14:textId="77777777">
        <w:tc>
          <w:tcPr>
            <w:tcW w:w="4365" w:type="dxa"/>
            <w:tcBorders>
              <w:top w:val="nil"/>
              <w:left w:val="nil"/>
              <w:bottom w:val="nil"/>
              <w:right w:val="nil"/>
            </w:tcBorders>
          </w:tcPr>
          <w:p w14:paraId="7ECE0586" w14:textId="591F21B4" w:rsidR="00FE1A8E" w:rsidRDefault="00084A57">
            <w:pPr>
              <w:rPr>
                <w:lang w:bidi="en-US"/>
              </w:rPr>
            </w:pPr>
            <m:oMath>
              <m:r>
                <w:rPr>
                  <w:rFonts w:ascii="Cambria Math" w:hAnsi="Cambria Math"/>
                </w:rPr>
                <m:t>ϱ</m:t>
              </m:r>
              <m:d>
                <m:dPr>
                  <m:ctrlPr>
                    <w:rPr>
                      <w:rFonts w:ascii="Cambria Math" w:hAnsi="Cambria Math"/>
                    </w:rPr>
                  </m:ctrlPr>
                </m:dPr>
                <m:e>
                  <m:r>
                    <w:rPr>
                      <w:rFonts w:ascii="Cambria Math" w:hAnsi="Cambria Math"/>
                    </w:rPr>
                    <m:t>x,t</m:t>
                  </m:r>
                </m:e>
              </m:d>
              <m:r>
                <w:rPr>
                  <w:rFonts w:ascii="Cambria Math" w:hAnsi="Cambria Math"/>
                </w:rPr>
                <m:t>=</m:t>
              </m:r>
              <m:nary>
                <m:naryPr>
                  <m:chr m:val="∑"/>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sSub>
                    <m:sSubPr>
                      <m:ctrlPr>
                        <w:rPr>
                          <w:rFonts w:ascii="Cambria Math" w:hAnsi="Cambria Math"/>
                        </w:rPr>
                      </m:ctrlPr>
                    </m:sSubPr>
                    <m:e>
                      <m:r>
                        <w:rPr>
                          <w:rFonts w:ascii="Cambria Math" w:hAnsi="Cambria Math"/>
                        </w:rPr>
                        <m:t>ϱ</m:t>
                      </m:r>
                    </m:e>
                    <m:sub>
                      <m:r>
                        <w:rPr>
                          <w:rFonts w:ascii="Cambria Math" w:hAnsi="Cambria Math"/>
                        </w:rPr>
                        <m:t>I</m:t>
                      </m:r>
                    </m:sub>
                  </m:sSub>
                  <m:d>
                    <m:dPr>
                      <m:ctrlPr>
                        <w:rPr>
                          <w:rFonts w:ascii="Cambria Math" w:hAnsi="Cambria Math"/>
                        </w:rPr>
                      </m:ctrlPr>
                    </m:dPr>
                    <m:e>
                      <m:r>
                        <w:rPr>
                          <w:rFonts w:ascii="Cambria Math" w:hAnsi="Cambria Math"/>
                        </w:rPr>
                        <m:t>t</m:t>
                      </m:r>
                    </m:e>
                  </m:d>
                </m:e>
              </m:nary>
              <m:r>
                <w:rPr>
                  <w:rFonts w:ascii="Cambria Math" w:hAnsi="Cambria Math"/>
                </w:rPr>
                <m:t>=</m:t>
              </m:r>
              <m:nary>
                <m:naryPr>
                  <m:chr m:val="∑"/>
                  <m:supHide m:val="1"/>
                  <m:ctrlPr>
                    <w:rPr>
                      <w:rFonts w:ascii="Cambria Math" w:hAnsi="Cambria Math"/>
                    </w:rPr>
                  </m:ctrlPr>
                </m:naryPr>
                <m:sub>
                  <m:r>
                    <w:rPr>
                      <w:rFonts w:ascii="Cambria Math" w:hAnsi="Cambria Math"/>
                    </w:rPr>
                    <m:t>I,α</m:t>
                  </m:r>
                </m:sub>
                <m:sup/>
                <m:e>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sSub>
                    <m:sSubPr>
                      <m:ctrlPr>
                        <w:rPr>
                          <w:rFonts w:ascii="Cambria Math" w:hAnsi="Cambria Math"/>
                        </w:rPr>
                      </m:ctrlPr>
                    </m:sSubPr>
                    <m:e>
                      <m:r>
                        <w:rPr>
                          <w:rFonts w:ascii="Cambria Math" w:hAnsi="Cambria Math"/>
                        </w:rPr>
                        <m:t>Δ</m:t>
                      </m:r>
                    </m:e>
                    <m:sub>
                      <m:r>
                        <w:rPr>
                          <w:rFonts w:ascii="Cambria Math" w:hAnsi="Cambria Math"/>
                        </w:rPr>
                        <m:t>I</m:t>
                      </m:r>
                    </m:sub>
                  </m:sSub>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α</m:t>
                          </m:r>
                        </m:sub>
                      </m:sSub>
                      <m:d>
                        <m:dPr>
                          <m:ctrlPr>
                            <w:rPr>
                              <w:rFonts w:ascii="Cambria Math" w:hAnsi="Cambria Math"/>
                            </w:rPr>
                          </m:ctrlPr>
                        </m:dPr>
                        <m:e>
                          <m:r>
                            <w:rPr>
                              <w:rFonts w:ascii="Cambria Math" w:hAnsi="Cambria Math"/>
                            </w:rPr>
                            <m:t>t</m:t>
                          </m:r>
                        </m:e>
                      </m:d>
                    </m:e>
                  </m:d>
                </m:e>
              </m:nary>
              <m:sSub>
                <m:sSubPr>
                  <m:ctrlPr>
                    <w:rPr>
                      <w:rFonts w:ascii="Cambria Math" w:hAnsi="Cambria Math"/>
                    </w:rPr>
                  </m:ctrlPr>
                </m:sSubPr>
                <m:e>
                  <m:r>
                    <w:rPr>
                      <w:rFonts w:ascii="Cambria Math" w:hAnsi="Cambria Math"/>
                    </w:rPr>
                    <m:t>m</m:t>
                  </m:r>
                </m:e>
                <m:sub>
                  <m:r>
                    <w:rPr>
                      <w:rFonts w:ascii="Cambria Math" w:hAnsi="Cambria Math"/>
                    </w:rPr>
                    <m:t>α</m:t>
                  </m:r>
                </m:sub>
              </m:sSub>
            </m:oMath>
            <w:r>
              <w:t xml:space="preserve">,                    </w:t>
            </w:r>
            <w:r w:rsidR="004B2653">
              <w:t xml:space="preserve">                 </w:t>
            </w:r>
            <w:r>
              <w:t xml:space="preserve">            (5)</w:t>
            </w:r>
          </w:p>
          <w:p w14:paraId="6AB486F5" w14:textId="77777777" w:rsidR="00FE1A8E" w:rsidRDefault="00FE1A8E">
            <w:pPr>
              <w:rPr>
                <w:lang w:bidi="en-US"/>
              </w:rPr>
            </w:pPr>
          </w:p>
          <w:p w14:paraId="40B6D566" w14:textId="344417EB" w:rsidR="007D5824" w:rsidRPr="007D5824" w:rsidRDefault="007D5824" w:rsidP="007D5824">
            <w:pPr>
              <w:rPr>
                <w:rFonts w:eastAsiaTheme="minorEastAsia"/>
                <w:bCs/>
                <w:lang w:bidi="en-US"/>
              </w:rPr>
            </w:pPr>
            <w:r>
              <w:rPr>
                <w:lang w:bidi="en-US"/>
              </w:rPr>
              <w:lastRenderedPageBreak/>
              <w:t xml:space="preserve">Un procedimiento similar es requerido para estimar otros campos físicos como la densidad de momento lineal </w:t>
            </w:r>
            <m:oMath>
              <m:r>
                <w:rPr>
                  <w:rFonts w:ascii="Cambria Math" w:hAnsi="Cambria Math"/>
                </w:rPr>
                <m:t>p</m:t>
              </m:r>
            </m:oMath>
            <w:r>
              <w:rPr>
                <w:rFonts w:eastAsiaTheme="minorEastAsia"/>
                <w:bCs/>
                <w:lang w:bidi="en-US"/>
              </w:rPr>
              <w:t>.</w:t>
            </w:r>
          </w:p>
        </w:tc>
      </w:tr>
    </w:tbl>
    <w:p w14:paraId="274FC64C" w14:textId="77777777" w:rsidR="00FE1A8E" w:rsidRDefault="00FE1A8E">
      <w:pPr>
        <w:rPr>
          <w:rFonts w:eastAsiaTheme="minorEastAsia"/>
          <w:bCs/>
          <w:lang w:bidi="en-US"/>
        </w:rPr>
      </w:pPr>
    </w:p>
    <w:p w14:paraId="3A77253B" w14:textId="77777777" w:rsidR="00FE1A8E" w:rsidRDefault="00084A57">
      <w:pPr>
        <w:rPr>
          <w:lang w:bidi="en-US"/>
        </w:rPr>
      </w:pPr>
      <m:oMath>
        <m:r>
          <w:rPr>
            <w:rFonts w:ascii="Cambria Math" w:hAnsi="Cambria Math"/>
          </w:rPr>
          <m:t>p</m:t>
        </m:r>
        <m:d>
          <m:dPr>
            <m:ctrlPr>
              <w:rPr>
                <w:rFonts w:ascii="Cambria Math" w:hAnsi="Cambria Math"/>
              </w:rPr>
            </m:ctrlPr>
          </m:dPr>
          <m:e>
            <m:r>
              <w:rPr>
                <w:rFonts w:ascii="Cambria Math" w:hAnsi="Cambria Math"/>
              </w:rPr>
              <m:t>x,t</m:t>
            </m:r>
          </m:e>
        </m:d>
        <m:r>
          <w:rPr>
            <w:rFonts w:ascii="Cambria Math" w:hAnsi="Cambria Math"/>
          </w:rPr>
          <m:t>=</m:t>
        </m:r>
        <m:nary>
          <m:naryPr>
            <m:chr m:val="∑"/>
            <m:supHide m:val="1"/>
            <m:ctrlPr>
              <w:rPr>
                <w:rFonts w:ascii="Cambria Math" w:hAnsi="Cambria Math"/>
              </w:rPr>
            </m:ctrlPr>
          </m:naryPr>
          <m:sub>
            <m:r>
              <w:rPr>
                <w:rFonts w:ascii="Cambria Math" w:hAnsi="Cambria Math"/>
              </w:rPr>
              <m:t>I,α</m:t>
            </m:r>
          </m:sub>
          <m:sup/>
          <m:e>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sSub>
              <m:sSubPr>
                <m:ctrlPr>
                  <w:rPr>
                    <w:rFonts w:ascii="Cambria Math" w:hAnsi="Cambria Math"/>
                  </w:rPr>
                </m:ctrlPr>
              </m:sSubPr>
              <m:e>
                <m:r>
                  <w:rPr>
                    <w:rFonts w:ascii="Cambria Math" w:hAnsi="Cambria Math"/>
                  </w:rPr>
                  <m:t>Δ</m:t>
                </m:r>
              </m:e>
              <m:sub>
                <m:r>
                  <w:rPr>
                    <w:rFonts w:ascii="Cambria Math" w:hAnsi="Cambria Math"/>
                  </w:rPr>
                  <m:t>Iα</m:t>
                </m:r>
              </m:sub>
            </m:sSub>
          </m:e>
        </m:nary>
        <m:sSub>
          <m:sSubPr>
            <m:ctrlPr>
              <w:rPr>
                <w:rFonts w:ascii="Cambria Math" w:hAnsi="Cambria Math"/>
              </w:rPr>
            </m:ctrlPr>
          </m:sSubPr>
          <m:e>
            <m:r>
              <w:rPr>
                <w:rFonts w:ascii="Cambria Math" w:hAnsi="Cambria Math"/>
              </w:rPr>
              <m:t>m</m:t>
            </m:r>
          </m:e>
          <m:sub>
            <m:r>
              <w:rPr>
                <w:rFonts w:ascii="Cambria Math" w:hAnsi="Cambria Math"/>
              </w:rPr>
              <m:t>α</m:t>
            </m:r>
          </m:sub>
        </m:sSub>
        <m:sSub>
          <m:sSubPr>
            <m:ctrlPr>
              <w:rPr>
                <w:rFonts w:ascii="Cambria Math" w:hAnsi="Cambria Math"/>
              </w:rPr>
            </m:ctrlPr>
          </m:sSubPr>
          <m:e>
            <m:r>
              <w:rPr>
                <w:rFonts w:ascii="Cambria Math" w:hAnsi="Cambria Math"/>
              </w:rPr>
              <m:t>v</m:t>
            </m:r>
          </m:e>
          <m:sub>
            <m:r>
              <w:rPr>
                <w:rFonts w:ascii="Cambria Math" w:hAnsi="Cambria Math"/>
              </w:rPr>
              <m:t>α</m:t>
            </m:r>
          </m:sub>
        </m:sSub>
        <m:d>
          <m:dPr>
            <m:ctrlPr>
              <w:rPr>
                <w:rFonts w:ascii="Cambria Math" w:hAnsi="Cambria Math"/>
              </w:rPr>
            </m:ctrlPr>
          </m:dPr>
          <m:e>
            <m:r>
              <w:rPr>
                <w:rFonts w:ascii="Cambria Math" w:hAnsi="Cambria Math"/>
              </w:rPr>
              <m:t>t</m:t>
            </m:r>
          </m:e>
        </m:d>
      </m:oMath>
      <w:r>
        <w:t>,                               (6)</w:t>
      </w:r>
    </w:p>
    <w:p w14:paraId="07DC1730" w14:textId="77777777" w:rsidR="00FE1A8E" w:rsidRPr="0021596F" w:rsidRDefault="00FE1A8E"/>
    <w:p w14:paraId="21723C3E" w14:textId="77777777" w:rsidR="00FE1A8E" w:rsidRPr="0021596F" w:rsidRDefault="00084A57">
      <w:r>
        <w:t>Tanto el campo de densidad de masa como el de momento lineal se pueden expresar en la configuración Lagrangiana/material de la siguiente forma:</w:t>
      </w:r>
    </w:p>
    <w:p w14:paraId="367DEC04" w14:textId="77777777" w:rsidR="00FE1A8E" w:rsidRPr="0021596F" w:rsidRDefault="00FE1A8E"/>
    <w:p w14:paraId="17D438F6" w14:textId="157F402D" w:rsidR="00FE1A8E" w:rsidRDefault="00084A57">
      <w:pPr>
        <w:rPr>
          <w:lang w:bidi="en-US"/>
        </w:rPr>
      </w:pPr>
      <m:oMath>
        <m:r>
          <w:rPr>
            <w:rFonts w:ascii="Cambria Math" w:hAnsi="Cambria Math"/>
          </w:rPr>
          <m:t>ρ=</m:t>
        </m:r>
        <m:nary>
          <m:naryPr>
            <m:chr m:val="∑"/>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sSub>
              <m:sSubPr>
                <m:ctrlPr>
                  <w:rPr>
                    <w:rFonts w:ascii="Cambria Math" w:hAnsi="Cambria Math"/>
                  </w:rPr>
                </m:ctrlPr>
              </m:sSubPr>
              <m:e>
                <m:r>
                  <w:rPr>
                    <w:rFonts w:ascii="Cambria Math" w:hAnsi="Cambria Math"/>
                  </w:rPr>
                  <m:t>ρ</m:t>
                </m:r>
              </m:e>
              <m:sub>
                <m:r>
                  <w:rPr>
                    <w:rFonts w:ascii="Cambria Math" w:hAnsi="Cambria Math"/>
                  </w:rPr>
                  <m:t>I</m:t>
                </m:r>
              </m:sub>
            </m:sSub>
          </m:e>
        </m:nary>
        <m:r>
          <w:rPr>
            <w:rFonts w:ascii="Cambria Math" w:hAnsi="Cambria Math"/>
          </w:rPr>
          <m:t>=</m:t>
        </m:r>
        <m:nary>
          <m:naryPr>
            <m:chr m:val="∑"/>
            <m:supHide m:val="1"/>
            <m:ctrlPr>
              <w:rPr>
                <w:rFonts w:ascii="Cambria Math" w:hAnsi="Cambria Math"/>
              </w:rPr>
            </m:ctrlPr>
          </m:naryPr>
          <m:sub>
            <m:r>
              <w:rPr>
                <w:rFonts w:ascii="Cambria Math" w:hAnsi="Cambria Math"/>
              </w:rPr>
              <m:t>I,α</m:t>
            </m:r>
          </m:sub>
          <m:sup/>
          <m:e>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Δ</m:t>
                </m:r>
              </m:e>
              <m:sub>
                <m:r>
                  <w:rPr>
                    <w:rFonts w:ascii="Cambria Math" w:hAnsi="Cambria Math"/>
                  </w:rPr>
                  <m:t>I</m:t>
                </m:r>
              </m:sub>
            </m:sSub>
            <m:d>
              <m:dPr>
                <m:ctrlPr>
                  <w:rPr>
                    <w:rFonts w:ascii="Cambria Math" w:hAnsi="Cambria Math"/>
                  </w:rPr>
                </m:ctrlPr>
              </m:dPr>
              <m:e>
                <m:r>
                  <w:rPr>
                    <w:rFonts w:ascii="Cambria Math" w:hAnsi="Cambria Math"/>
                  </w:rPr>
                  <m:t>X</m:t>
                </m:r>
              </m:e>
            </m:d>
          </m:e>
        </m:nary>
        <m:sSub>
          <m:sSubPr>
            <m:ctrlPr>
              <w:rPr>
                <w:rFonts w:ascii="Cambria Math" w:hAnsi="Cambria Math"/>
              </w:rPr>
            </m:ctrlPr>
          </m:sSubPr>
          <m:e>
            <m:r>
              <w:rPr>
                <w:rFonts w:ascii="Cambria Math" w:hAnsi="Cambria Math"/>
              </w:rPr>
              <m:t>m</m:t>
            </m:r>
          </m:e>
          <m:sub>
            <m:r>
              <w:rPr>
                <w:rFonts w:ascii="Cambria Math" w:hAnsi="Cambria Math"/>
              </w:rPr>
              <m:t>α</m:t>
            </m:r>
          </m:sub>
        </m:sSub>
      </m:oMath>
      <w:r>
        <w:t>,                           (7)</w:t>
      </w:r>
    </w:p>
    <w:p w14:paraId="4399F13C" w14:textId="77777777" w:rsidR="00FE1A8E" w:rsidRPr="0021596F" w:rsidRDefault="00FE1A8E"/>
    <w:p w14:paraId="03C869A9" w14:textId="77777777" w:rsidR="00FE1A8E" w:rsidRDefault="00084A57">
      <w:pPr>
        <w:rPr>
          <w:lang w:bidi="en-US"/>
        </w:rPr>
      </w:pPr>
      <m:oMath>
        <m:r>
          <w:rPr>
            <w:rFonts w:ascii="Cambria Math" w:hAnsi="Cambria Math"/>
          </w:rPr>
          <m:t>p</m:t>
        </m:r>
        <m:d>
          <m:dPr>
            <m:ctrlPr>
              <w:rPr>
                <w:rFonts w:ascii="Cambria Math" w:hAnsi="Cambria Math"/>
              </w:rPr>
            </m:ctrlPr>
          </m:dPr>
          <m:e>
            <m:r>
              <w:rPr>
                <w:rFonts w:ascii="Cambria Math" w:hAnsi="Cambria Math"/>
              </w:rPr>
              <m:t>X,t</m:t>
            </m:r>
          </m:e>
        </m:d>
        <m:r>
          <w:rPr>
            <w:rFonts w:ascii="Cambria Math" w:hAnsi="Cambria Math"/>
          </w:rPr>
          <m:t>=</m:t>
        </m:r>
        <m:nary>
          <m:naryPr>
            <m:chr m:val="∑"/>
            <m:supHide m:val="1"/>
            <m:ctrlPr>
              <w:rPr>
                <w:rFonts w:ascii="Cambria Math" w:hAnsi="Cambria Math"/>
              </w:rPr>
            </m:ctrlPr>
          </m:naryPr>
          <m:sub>
            <m:r>
              <w:rPr>
                <w:rFonts w:ascii="Cambria Math" w:hAnsi="Cambria Math"/>
              </w:rPr>
              <m:t>I,α</m:t>
            </m:r>
          </m:sub>
          <m:sup/>
          <m:e>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sSub>
              <m:sSubPr>
                <m:ctrlPr>
                  <w:rPr>
                    <w:rFonts w:ascii="Cambria Math" w:hAnsi="Cambria Math"/>
                  </w:rPr>
                </m:ctrlPr>
              </m:sSubPr>
              <m:e>
                <m:r>
                  <w:rPr>
                    <w:rFonts w:ascii="Cambria Math" w:hAnsi="Cambria Math"/>
                  </w:rPr>
                  <m:t>Δ</m:t>
                </m:r>
              </m:e>
              <m:sub>
                <m:r>
                  <w:rPr>
                    <w:rFonts w:ascii="Cambria Math" w:hAnsi="Cambria Math"/>
                  </w:rPr>
                  <m:t>Iα</m:t>
                </m:r>
              </m:sub>
            </m:sSub>
          </m:e>
        </m:nary>
        <m:sSub>
          <m:sSubPr>
            <m:ctrlPr>
              <w:rPr>
                <w:rFonts w:ascii="Cambria Math" w:hAnsi="Cambria Math"/>
              </w:rPr>
            </m:ctrlPr>
          </m:sSubPr>
          <m:e>
            <m:r>
              <w:rPr>
                <w:rFonts w:ascii="Cambria Math" w:hAnsi="Cambria Math"/>
              </w:rPr>
              <m:t>m</m:t>
            </m:r>
          </m:e>
          <m:sub>
            <m:r>
              <w:rPr>
                <w:rFonts w:ascii="Cambria Math" w:hAnsi="Cambria Math"/>
              </w:rPr>
              <m:t>α</m:t>
            </m:r>
          </m:sub>
        </m:sSub>
        <m:sSub>
          <m:sSubPr>
            <m:ctrlPr>
              <w:rPr>
                <w:rFonts w:ascii="Cambria Math" w:hAnsi="Cambria Math"/>
              </w:rPr>
            </m:ctrlPr>
          </m:sSubPr>
          <m:e>
            <m:r>
              <w:rPr>
                <w:rFonts w:ascii="Cambria Math" w:hAnsi="Cambria Math"/>
              </w:rPr>
              <m:t>v</m:t>
            </m:r>
          </m:e>
          <m:sub>
            <m:r>
              <w:rPr>
                <w:rFonts w:ascii="Cambria Math" w:hAnsi="Cambria Math"/>
              </w:rPr>
              <m:t>α</m:t>
            </m:r>
          </m:sub>
        </m:sSub>
        <m:d>
          <m:dPr>
            <m:ctrlPr>
              <w:rPr>
                <w:rFonts w:ascii="Cambria Math" w:hAnsi="Cambria Math"/>
              </w:rPr>
            </m:ctrlPr>
          </m:dPr>
          <m:e>
            <m:r>
              <w:rPr>
                <w:rFonts w:ascii="Cambria Math" w:hAnsi="Cambria Math"/>
              </w:rPr>
              <m:t>t</m:t>
            </m:r>
          </m:e>
        </m:d>
      </m:oMath>
      <w:r>
        <w:t>,                             (8)</w:t>
      </w:r>
    </w:p>
    <w:p w14:paraId="3A8A2A39" w14:textId="77777777" w:rsidR="00FE1A8E" w:rsidRPr="0021596F" w:rsidRDefault="00FE1A8E"/>
    <w:p w14:paraId="61829E87" w14:textId="77777777" w:rsidR="00FE1A8E" w:rsidRDefault="00084A57">
      <w:pPr>
        <w:rPr>
          <w:rFonts w:eastAsiaTheme="minorEastAsia"/>
          <w:lang w:bidi="en-US"/>
        </w:rPr>
      </w:pPr>
      <w:r>
        <w:t xml:space="preserve">Dónde </w:t>
      </w:r>
      <m:oMath>
        <m:sSub>
          <m:sSubPr>
            <m:ctrlPr>
              <w:rPr>
                <w:rFonts w:ascii="Cambria Math" w:hAnsi="Cambria Math"/>
              </w:rPr>
            </m:ctrlPr>
          </m:sSubPr>
          <m:e>
            <m:r>
              <w:rPr>
                <w:rFonts w:ascii="Cambria Math" w:hAnsi="Cambria Math"/>
              </w:rPr>
              <m:t>Δ</m:t>
            </m:r>
          </m:e>
          <m:sub>
            <m:r>
              <w:rPr>
                <w:rFonts w:ascii="Cambria Math" w:hAnsi="Cambria Math"/>
              </w:rPr>
              <m:t>Iα</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m:t>
            </m:r>
          </m:sub>
        </m:sSub>
        <m:d>
          <m:dPr>
            <m:ctrlPr>
              <w:rPr>
                <w:rFonts w:ascii="Cambria Math" w:hAnsi="Cambria Math"/>
              </w:rPr>
            </m:ctrlPr>
          </m:dPr>
          <m:e>
            <m:r>
              <w:rPr>
                <w:rFonts w:ascii="Cambria Math" w:hAnsi="Cambria Math"/>
              </w:rPr>
              <m:t>X</m:t>
            </m:r>
          </m:e>
        </m:d>
      </m:oMath>
      <w:r>
        <w:rPr>
          <w:rFonts w:eastAsiaTheme="minorEastAsia"/>
          <w:lang w:bidi="en-US"/>
        </w:rPr>
        <w:t>. Tomando la ecuación (6) y la ecuación (4) se usan para derivar una expresión que permita calcular el tensor de esfuerzos de Cauchy:</w:t>
      </w:r>
    </w:p>
    <w:p w14:paraId="6B08885E" w14:textId="77777777" w:rsidR="00FE1A8E" w:rsidRDefault="00FE1A8E">
      <w:pPr>
        <w:rPr>
          <w:rFonts w:eastAsiaTheme="minorEastAsia"/>
          <w:lang w:bidi="en-US"/>
        </w:rPr>
      </w:pPr>
    </w:p>
    <w:p w14:paraId="41646A7F" w14:textId="77777777" w:rsidR="00FE1A8E" w:rsidRDefault="00691556">
      <w:pPr>
        <w:jc w:val="center"/>
        <w:rPr>
          <w:lang w:bidi="en-US"/>
        </w:rPr>
      </w:pPr>
      <m:oMath>
        <m:f>
          <m:fPr>
            <m:ctrlPr>
              <w:rPr>
                <w:rFonts w:ascii="Cambria Math" w:hAnsi="Cambria Math"/>
              </w:rPr>
            </m:ctrlPr>
          </m:fPr>
          <m:num>
            <m:r>
              <w:rPr>
                <w:rFonts w:ascii="Cambria Math" w:hAnsi="Cambria Math"/>
              </w:rPr>
              <m:t>∂</m:t>
            </m:r>
          </m:num>
          <m:den>
            <m:r>
              <w:rPr>
                <w:rFonts w:ascii="Cambria Math" w:hAnsi="Cambria Math"/>
              </w:rPr>
              <m:t>∂t</m:t>
            </m:r>
          </m:den>
        </m:f>
        <m:r>
          <w:rPr>
            <w:rFonts w:ascii="Cambria Math" w:hAnsi="Cambria Math"/>
          </w:rPr>
          <m:t>p=</m:t>
        </m:r>
        <m:sSub>
          <m:sSubPr>
            <m:ctrlPr>
              <w:rPr>
                <w:rFonts w:ascii="Cambria Math" w:hAnsi="Cambria Math"/>
              </w:rPr>
            </m:ctrlPr>
          </m:sSubPr>
          <m:e>
            <m:r>
              <w:rPr>
                <w:rFonts w:ascii="Cambria Math" w:hAnsi="Cambria Math"/>
              </w:rPr>
              <m:t>∇</m:t>
            </m:r>
          </m:e>
          <m:sub>
            <m:r>
              <w:rPr>
                <w:rFonts w:ascii="Cambria Math" w:hAnsi="Cambria Math"/>
              </w:rPr>
              <m:t>x</m:t>
            </m:r>
          </m:sub>
        </m:sSub>
        <m:r>
          <w:rPr>
            <w:rFonts w:ascii="Cambria Math" w:hAnsi="Cambria Math"/>
          </w:rPr>
          <m:t>∙</m:t>
        </m:r>
        <m:d>
          <m:dPr>
            <m:ctrlPr>
              <w:rPr>
                <w:rFonts w:ascii="Cambria Math" w:hAnsi="Cambria Math"/>
              </w:rPr>
            </m:ctrlPr>
          </m:dPr>
          <m:e>
            <m:r>
              <w:rPr>
                <w:rFonts w:ascii="Cambria Math" w:hAnsi="Cambria Math"/>
              </w:rPr>
              <m:t>σ-</m:t>
            </m:r>
            <m:f>
              <m:fPr>
                <m:ctrlPr>
                  <w:rPr>
                    <w:rFonts w:ascii="Cambria Math" w:hAnsi="Cambria Math"/>
                  </w:rPr>
                </m:ctrlPr>
              </m:fPr>
              <m:num>
                <m:r>
                  <w:rPr>
                    <w:rFonts w:ascii="Cambria Math" w:hAnsi="Cambria Math"/>
                  </w:rPr>
                  <m:t>1</m:t>
                </m:r>
              </m:num>
              <m:den>
                <m:r>
                  <w:rPr>
                    <w:rFonts w:ascii="Cambria Math" w:hAnsi="Cambria Math"/>
                  </w:rPr>
                  <m:t>ϱ</m:t>
                </m:r>
              </m:den>
            </m:f>
            <m:r>
              <w:rPr>
                <w:rFonts w:ascii="Cambria Math" w:hAnsi="Cambria Math"/>
              </w:rPr>
              <m:t>p⨂p</m:t>
            </m:r>
          </m:e>
        </m:d>
      </m:oMath>
      <w:r w:rsidR="00084A57">
        <w:t>,                                     (9)</w:t>
      </w:r>
    </w:p>
    <w:p w14:paraId="445656CA" w14:textId="77777777" w:rsidR="00FE1A8E" w:rsidRDefault="00FE1A8E">
      <w:pPr>
        <w:rPr>
          <w:rFonts w:eastAsiaTheme="minorEastAsia"/>
          <w:lang w:bidi="en-US"/>
        </w:rPr>
      </w:pPr>
    </w:p>
    <w:p w14:paraId="3F4C5641" w14:textId="77777777" w:rsidR="00FE1A8E" w:rsidRPr="0021596F" w:rsidRDefault="00084A57">
      <w:r>
        <w:t>Que al resolver la ecuación (9) se obtiene:</w:t>
      </w:r>
    </w:p>
    <w:p w14:paraId="6E95D167" w14:textId="77777777" w:rsidR="00FE1A8E" w:rsidRPr="0021596F" w:rsidRDefault="00FE1A8E"/>
    <w:p w14:paraId="048F5BCD" w14:textId="77777777" w:rsidR="00FE1A8E" w:rsidRDefault="00691556">
      <w:pPr>
        <w:jc w:val="left"/>
        <w:rPr>
          <w:lang w:bidi="en-US"/>
        </w:rPr>
      </w:pPr>
      <m:oMath>
        <m:f>
          <m:fPr>
            <m:ctrlPr>
              <w:rPr>
                <w:rFonts w:ascii="Cambria Math" w:hAnsi="Cambria Math"/>
              </w:rPr>
            </m:ctrlPr>
          </m:fPr>
          <m:num>
            <m:r>
              <w:rPr>
                <w:rFonts w:ascii="Cambria Math" w:hAnsi="Cambria Math"/>
              </w:rPr>
              <m:t>∂</m:t>
            </m:r>
          </m:num>
          <m:den>
            <m:r>
              <w:rPr>
                <w:rFonts w:ascii="Cambria Math" w:hAnsi="Cambria Math"/>
              </w:rPr>
              <m:t>∂t</m:t>
            </m:r>
          </m:den>
        </m:f>
        <m:r>
          <w:rPr>
            <w:rFonts w:ascii="Cambria Math" w:hAnsi="Cambria Math"/>
          </w:rPr>
          <m:t>p=</m:t>
        </m:r>
        <m:f>
          <m:fPr>
            <m:ctrlPr>
              <w:rPr>
                <w:rFonts w:ascii="Cambria Math" w:hAnsi="Cambria Math"/>
              </w:rPr>
            </m:ctrlPr>
          </m:fPr>
          <m:num>
            <m:r>
              <w:rPr>
                <w:rFonts w:ascii="Cambria Math" w:hAnsi="Cambria Math"/>
              </w:rPr>
              <m:t>1</m:t>
            </m:r>
          </m:num>
          <m:den>
            <m:r>
              <w:rPr>
                <w:rFonts w:ascii="Cambria Math" w:hAnsi="Cambria Math"/>
              </w:rPr>
              <m:t>2</m:t>
            </m:r>
          </m:den>
        </m:f>
        <m:nary>
          <m:naryPr>
            <m:chr m:val="∑"/>
            <m:supHide m:val="1"/>
            <m:ctrlPr>
              <w:rPr>
                <w:rFonts w:ascii="Cambria Math" w:hAnsi="Cambria Math"/>
              </w:rPr>
            </m:ctrlPr>
          </m:naryPr>
          <m:sub>
            <m:r>
              <w:rPr>
                <w:rFonts w:ascii="Cambria Math" w:hAnsi="Cambria Math"/>
              </w:rPr>
              <m:t>I,α,β</m:t>
            </m:r>
          </m:sub>
          <m:sup/>
          <m:e>
            <m:d>
              <m:dPr>
                <m:ctrlPr>
                  <w:rPr>
                    <w:rFonts w:ascii="Cambria Math" w:hAnsi="Cambria Math"/>
                  </w:rPr>
                </m:ctrlPr>
              </m:dPr>
              <m:e>
                <m:sSub>
                  <m:sSubPr>
                    <m:ctrlPr>
                      <w:rPr>
                        <w:rFonts w:ascii="Cambria Math" w:hAnsi="Cambria Math"/>
                      </w:rPr>
                    </m:ctrlPr>
                  </m:sSubPr>
                  <m:e>
                    <m:r>
                      <w:rPr>
                        <w:rFonts w:ascii="Cambria Math" w:hAnsi="Cambria Math"/>
                      </w:rPr>
                      <m:t>Δ</m:t>
                    </m:r>
                  </m:e>
                  <m:sub>
                    <m:r>
                      <w:rPr>
                        <w:rFonts w:ascii="Cambria Math" w:hAnsi="Cambria Math"/>
                      </w:rPr>
                      <m:t>Iα</m:t>
                    </m:r>
                  </m:sub>
                </m:sSub>
                <m:sSub>
                  <m:sSubPr>
                    <m:ctrlPr>
                      <w:rPr>
                        <w:rFonts w:ascii="Cambria Math" w:hAnsi="Cambria Math"/>
                      </w:rPr>
                    </m:ctrlPr>
                  </m:sSubPr>
                  <m:e>
                    <m:r>
                      <w:rPr>
                        <w:rFonts w:ascii="Cambria Math" w:hAnsi="Cambria Math"/>
                      </w:rPr>
                      <m:t>f</m:t>
                    </m:r>
                  </m:e>
                  <m:sub>
                    <m:r>
                      <w:rPr>
                        <w:rFonts w:ascii="Cambria Math" w:hAnsi="Cambria Math"/>
                      </w:rPr>
                      <m:t>α,β</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Iβ</m:t>
                    </m:r>
                  </m:sub>
                </m:sSub>
                <m:sSub>
                  <m:sSubPr>
                    <m:ctrlPr>
                      <w:rPr>
                        <w:rFonts w:ascii="Cambria Math" w:hAnsi="Cambria Math"/>
                      </w:rPr>
                    </m:ctrlPr>
                  </m:sSubPr>
                  <m:e>
                    <m:r>
                      <w:rPr>
                        <w:rFonts w:ascii="Cambria Math" w:hAnsi="Cambria Math"/>
                      </w:rPr>
                      <m:t>f</m:t>
                    </m:r>
                  </m:e>
                  <m:sub>
                    <m:r>
                      <w:rPr>
                        <w:rFonts w:ascii="Cambria Math" w:hAnsi="Cambria Math"/>
                      </w:rPr>
                      <m:t>α,β</m:t>
                    </m:r>
                  </m:sub>
                </m:sSub>
              </m:e>
            </m:d>
          </m:e>
        </m:nary>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x</m:t>
            </m:r>
          </m:sub>
        </m:sSub>
        <m:r>
          <w:rPr>
            <w:rFonts w:ascii="Cambria Math" w:hAnsi="Cambria Math"/>
          </w:rPr>
          <m:t>∙</m:t>
        </m:r>
        <m:nary>
          <m:naryPr>
            <m:chr m:val="∑"/>
            <m:supHide m:val="1"/>
            <m:ctrlPr>
              <w:rPr>
                <w:rFonts w:ascii="Cambria Math" w:hAnsi="Cambria Math"/>
              </w:rPr>
            </m:ctrlPr>
          </m:naryPr>
          <m:sub>
            <m:r>
              <w:rPr>
                <w:rFonts w:ascii="Cambria Math" w:hAnsi="Cambria Math"/>
              </w:rPr>
              <m:t>I,α</m:t>
            </m:r>
          </m:sub>
          <m:sup/>
          <m:e>
            <m:sSub>
              <m:sSubPr>
                <m:ctrlPr>
                  <w:rPr>
                    <w:rFonts w:ascii="Cambria Math" w:hAnsi="Cambria Math"/>
                  </w:rPr>
                </m:ctrlPr>
              </m:sSubPr>
              <m:e>
                <m:r>
                  <w:rPr>
                    <w:rFonts w:ascii="Cambria Math" w:hAnsi="Cambria Math"/>
                  </w:rPr>
                  <m:t>m</m:t>
                </m:r>
              </m:e>
              <m:sub>
                <m:r>
                  <w:rPr>
                    <w:rFonts w:ascii="Cambria Math" w:hAnsi="Cambria Math"/>
                  </w:rPr>
                  <m:t>α</m:t>
                </m:r>
              </m:sub>
            </m:sSub>
            <m:sSub>
              <m:sSubPr>
                <m:ctrlPr>
                  <w:rPr>
                    <w:rFonts w:ascii="Cambria Math" w:hAnsi="Cambria Math"/>
                  </w:rPr>
                </m:ctrlPr>
              </m:sSubPr>
              <m:e>
                <m:r>
                  <w:rPr>
                    <w:rFonts w:ascii="Cambria Math" w:hAnsi="Cambria Math"/>
                  </w:rPr>
                  <m:t>v</m:t>
                </m:r>
              </m:e>
              <m:sub>
                <m:r>
                  <w:rPr>
                    <w:rFonts w:ascii="Cambria Math" w:hAnsi="Cambria Math"/>
                  </w:rPr>
                  <m:t>α</m:t>
                </m:r>
              </m:sub>
            </m:sSub>
            <m:r>
              <w:rPr>
                <w:rFonts w:ascii="Cambria Math" w:hAnsi="Cambria Math"/>
              </w:rPr>
              <m:t>⨂</m:t>
            </m:r>
          </m:e>
        </m:nary>
        <m:sSub>
          <m:sSubPr>
            <m:ctrlPr>
              <w:rPr>
                <w:rFonts w:ascii="Cambria Math" w:hAnsi="Cambria Math"/>
              </w:rPr>
            </m:ctrlPr>
          </m:sSubPr>
          <m:e>
            <m:r>
              <w:rPr>
                <w:rFonts w:ascii="Cambria Math" w:hAnsi="Cambria Math"/>
              </w:rPr>
              <m:t>v</m:t>
            </m:r>
          </m:e>
          <m:sub>
            <m:r>
              <w:rPr>
                <w:rFonts w:ascii="Cambria Math" w:hAnsi="Cambria Math"/>
              </w:rPr>
              <m:t>α</m:t>
            </m:r>
          </m:sub>
        </m:sSub>
        <m:sSub>
          <m:sSubPr>
            <m:ctrlPr>
              <w:rPr>
                <w:rFonts w:ascii="Cambria Math" w:hAnsi="Cambria Math"/>
              </w:rPr>
            </m:ctrlPr>
          </m:sSubPr>
          <m:e>
            <m:r>
              <w:rPr>
                <w:rFonts w:ascii="Cambria Math" w:hAnsi="Cambria Math"/>
              </w:rPr>
              <m:t>Δ</m:t>
            </m:r>
          </m:e>
          <m:sub>
            <m:r>
              <w:rPr>
                <w:rFonts w:ascii="Cambria Math" w:hAnsi="Cambria Math"/>
              </w:rPr>
              <m:t>Iα</m:t>
            </m:r>
          </m:sub>
        </m:sSub>
      </m:oMath>
      <w:r w:rsidR="00084A57">
        <w:t>,                                               (10)</w:t>
      </w:r>
    </w:p>
    <w:p w14:paraId="0AC172DC" w14:textId="77777777" w:rsidR="00FE1A8E" w:rsidRPr="0021596F" w:rsidRDefault="00FE1A8E"/>
    <w:p w14:paraId="3A601BEB" w14:textId="77777777" w:rsidR="00FE1A8E" w:rsidRDefault="00084A57">
      <w:pPr>
        <w:rPr>
          <w:rFonts w:eastAsiaTheme="minorEastAsia"/>
        </w:rPr>
      </w:pPr>
      <w:r>
        <w:t xml:space="preserve">Dónde </w:t>
      </w:r>
      <m:oMath>
        <m:sSub>
          <m:sSubPr>
            <m:ctrlPr>
              <w:rPr>
                <w:rFonts w:ascii="Cambria Math" w:hAnsi="Cambria Math"/>
              </w:rPr>
            </m:ctrlPr>
          </m:sSubPr>
          <m:e>
            <m:r>
              <w:rPr>
                <w:rFonts w:ascii="Cambria Math" w:hAnsi="Cambria Math"/>
              </w:rPr>
              <m:t>f</m:t>
            </m:r>
          </m:e>
          <m:sub>
            <m:r>
              <w:rPr>
                <w:rFonts w:ascii="Cambria Math" w:hAnsi="Cambria Math"/>
              </w:rPr>
              <m:t>α,β</m:t>
            </m:r>
          </m:sub>
        </m:sSub>
      </m:oMath>
      <w:r>
        <w:rPr>
          <w:rFonts w:eastAsiaTheme="minorEastAsia"/>
        </w:rPr>
        <w:t xml:space="preserve"> es la fuerza en un átomo </w:t>
      </w:r>
      <m:oMath>
        <m:r>
          <w:rPr>
            <w:rFonts w:ascii="Cambria Math" w:hAnsi="Cambria Math"/>
          </w:rPr>
          <m:t>α</m:t>
        </m:r>
      </m:oMath>
      <w:r>
        <w:rPr>
          <w:rFonts w:eastAsiaTheme="minorEastAsia"/>
        </w:rPr>
        <w:t xml:space="preserve"> debido a </w:t>
      </w:r>
      <m:oMath>
        <m:r>
          <w:rPr>
            <w:rFonts w:ascii="Cambria Math" w:hAnsi="Cambria Math"/>
          </w:rPr>
          <m:t>β</m:t>
        </m:r>
      </m:oMath>
      <w:r>
        <w:rPr>
          <w:rFonts w:eastAsiaTheme="minorEastAsia"/>
        </w:rPr>
        <w:t xml:space="preserve">, tal que </w:t>
      </w:r>
      <m:oMath>
        <m:sSub>
          <m:sSubPr>
            <m:ctrlPr>
              <w:rPr>
                <w:rFonts w:ascii="Cambria Math" w:hAnsi="Cambria Math"/>
              </w:rPr>
            </m:ctrlPr>
          </m:sSubPr>
          <m:e>
            <m:r>
              <w:rPr>
                <w:rFonts w:ascii="Cambria Math" w:hAnsi="Cambria Math"/>
              </w:rPr>
              <m:t>f</m:t>
            </m:r>
          </m:e>
          <m:sub>
            <m:r>
              <w:rPr>
                <w:rFonts w:ascii="Cambria Math" w:hAnsi="Cambria Math"/>
              </w:rPr>
              <m:t>α</m:t>
            </m:r>
          </m:sub>
        </m:sSub>
        <m:r>
          <w:rPr>
            <w:rFonts w:ascii="Cambria Math" w:hAnsi="Cambria Math"/>
          </w:rPr>
          <m:t>=</m:t>
        </m:r>
        <m:nary>
          <m:naryPr>
            <m:chr m:val="∑"/>
            <m:supHide m:val="1"/>
            <m:ctrlPr>
              <w:rPr>
                <w:rFonts w:ascii="Cambria Math" w:hAnsi="Cambria Math"/>
              </w:rPr>
            </m:ctrlPr>
          </m:naryPr>
          <m:sub>
            <m:r>
              <w:rPr>
                <w:rFonts w:ascii="Cambria Math" w:hAnsi="Cambria Math"/>
              </w:rPr>
              <m:t>β</m:t>
            </m:r>
          </m:sub>
          <m:sup/>
          <m:e>
            <m:sSub>
              <m:sSubPr>
                <m:ctrlPr>
                  <w:rPr>
                    <w:rFonts w:ascii="Cambria Math" w:hAnsi="Cambria Math"/>
                  </w:rPr>
                </m:ctrlPr>
              </m:sSubPr>
              <m:e>
                <m:r>
                  <w:rPr>
                    <w:rFonts w:ascii="Cambria Math" w:hAnsi="Cambria Math"/>
                  </w:rPr>
                  <m:t>f</m:t>
                </m:r>
              </m:e>
              <m:sub>
                <m:r>
                  <w:rPr>
                    <w:rFonts w:ascii="Cambria Math" w:hAnsi="Cambria Math"/>
                  </w:rPr>
                  <m:t>α,β</m:t>
                </m:r>
              </m:sub>
            </m:sSub>
          </m:e>
        </m:nary>
      </m:oMath>
      <w:r>
        <w:rPr>
          <w:rFonts w:eastAsiaTheme="minorEastAsia"/>
        </w:rPr>
        <w:t>. Para terminar la formulación del tensor de Cauchy es necesario introducir la llamada función de enlace:</w:t>
      </w:r>
    </w:p>
    <w:p w14:paraId="141BD07A" w14:textId="77777777" w:rsidR="00FE1A8E" w:rsidRPr="0021596F" w:rsidRDefault="00FE1A8E"/>
    <w:p w14:paraId="0A19A473" w14:textId="77777777" w:rsidR="00FE1A8E" w:rsidRDefault="00691556">
      <w:pPr>
        <w:rPr>
          <w:lang w:bidi="en-US"/>
        </w:rPr>
      </w:pPr>
      <m:oMath>
        <m:sSub>
          <m:sSubPr>
            <m:ctrlPr>
              <w:rPr>
                <w:rFonts w:ascii="Cambria Math" w:hAnsi="Cambria Math"/>
              </w:rPr>
            </m:ctrlPr>
          </m:sSubPr>
          <m:e>
            <m:r>
              <w:rPr>
                <w:rFonts w:ascii="Cambria Math" w:hAnsi="Cambria Math"/>
              </w:rPr>
              <m:t>B</m:t>
            </m:r>
          </m:e>
          <m:sub>
            <m:r>
              <w:rPr>
                <w:rFonts w:ascii="Cambria Math" w:hAnsi="Cambria Math"/>
              </w:rPr>
              <m:t>Iαβ</m:t>
            </m:r>
          </m:sub>
        </m:sSub>
        <m:r>
          <w:rPr>
            <w:rFonts w:ascii="Cambria Math" w:hAnsi="Cambria Math"/>
          </w:rPr>
          <m:t>=</m:t>
        </m:r>
        <m:nary>
          <m:naryPr>
            <m:ctrlPr>
              <w:rPr>
                <w:rFonts w:ascii="Cambria Math" w:hAnsi="Cambria Math"/>
              </w:rPr>
            </m:ctrlPr>
          </m:naryPr>
          <m:sub>
            <m:r>
              <w:rPr>
                <w:rFonts w:ascii="Cambria Math" w:hAnsi="Cambria Math"/>
              </w:rPr>
              <m:t>0</m:t>
            </m:r>
          </m:sub>
          <m:sup>
            <m:r>
              <w:rPr>
                <w:rFonts w:ascii="Cambria Math" w:hAnsi="Cambria Math"/>
              </w:rPr>
              <m:t>1</m:t>
            </m:r>
          </m:sup>
          <m:e>
            <m:sSub>
              <m:sSubPr>
                <m:ctrlPr>
                  <w:rPr>
                    <w:rFonts w:ascii="Cambria Math" w:hAnsi="Cambria Math"/>
                  </w:rPr>
                </m:ctrlPr>
              </m:sSubPr>
              <m:e>
                <m:r>
                  <w:rPr>
                    <w:rFonts w:ascii="Cambria Math" w:hAnsi="Cambria Math"/>
                  </w:rPr>
                  <m:t>Δ</m:t>
                </m:r>
              </m:e>
              <m:sub>
                <m:r>
                  <w:rPr>
                    <w:rFonts w:ascii="Cambria Math" w:hAnsi="Cambria Math"/>
                  </w:rPr>
                  <m:t>I</m:t>
                </m:r>
              </m:sub>
            </m:sSub>
            <m:d>
              <m:dPr>
                <m:ctrlPr>
                  <w:rPr>
                    <w:rFonts w:ascii="Cambria Math" w:hAnsi="Cambria Math"/>
                  </w:rPr>
                </m:ctrlPr>
              </m:dPr>
              <m:e>
                <m:r>
                  <w:rPr>
                    <w:rFonts w:ascii="Cambria Math" w:hAnsi="Cambria Math"/>
                  </w:rPr>
                  <m:t>λ</m:t>
                </m:r>
                <m:sSub>
                  <m:sSubPr>
                    <m:ctrlPr>
                      <w:rPr>
                        <w:rFonts w:ascii="Cambria Math" w:hAnsi="Cambria Math"/>
                      </w:rPr>
                    </m:ctrlPr>
                  </m:sSubPr>
                  <m:e>
                    <m:r>
                      <w:rPr>
                        <w:rFonts w:ascii="Cambria Math" w:hAnsi="Cambria Math"/>
                      </w:rPr>
                      <m:t>x</m:t>
                    </m:r>
                  </m:e>
                  <m:sub>
                    <m:r>
                      <w:rPr>
                        <w:rFonts w:ascii="Cambria Math" w:hAnsi="Cambria Math"/>
                      </w:rPr>
                      <m:t>αβ</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β</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d>
          </m:e>
        </m:nary>
        <m:r>
          <w:rPr>
            <w:rFonts w:ascii="Cambria Math" w:hAnsi="Cambria Math"/>
          </w:rPr>
          <m:t>dλ</m:t>
        </m:r>
      </m:oMath>
      <w:r w:rsidR="00084A57">
        <w:t>,                            (11)</w:t>
      </w:r>
    </w:p>
    <w:p w14:paraId="14C6983C" w14:textId="77777777" w:rsidR="00FE1A8E" w:rsidRPr="0021596F" w:rsidRDefault="00FE1A8E"/>
    <w:p w14:paraId="21CB0213" w14:textId="77777777" w:rsidR="00FE1A8E" w:rsidRDefault="00084A57">
      <w:pPr>
        <w:rPr>
          <w:lang w:eastAsia="es-CO"/>
        </w:rPr>
      </w:pPr>
      <w:r>
        <w:rPr>
          <w:lang w:eastAsia="es-CO"/>
        </w:rPr>
        <w:t xml:space="preserve">Dónde </w:t>
      </w:r>
      <m:oMath>
        <m:sSub>
          <m:sSubPr>
            <m:ctrlPr>
              <w:rPr>
                <w:rFonts w:ascii="Cambria Math" w:hAnsi="Cambria Math"/>
              </w:rPr>
            </m:ctrlPr>
          </m:sSubPr>
          <m:e>
            <m:r>
              <w:rPr>
                <w:rFonts w:ascii="Cambria Math" w:hAnsi="Cambria Math"/>
              </w:rPr>
              <m:t>x</m:t>
            </m:r>
          </m:e>
          <m:sub>
            <m:r>
              <w:rPr>
                <w:rFonts w:ascii="Cambria Math" w:hAnsi="Cambria Math"/>
              </w:rPr>
              <m:t>αβ</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α</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β</m:t>
            </m:r>
          </m:sub>
        </m:sSub>
      </m:oMath>
      <w:r>
        <w:rPr>
          <w:rFonts w:eastAsiaTheme="minorEastAsia"/>
          <w:lang w:bidi="en-US"/>
        </w:rPr>
        <w:t xml:space="preserve"> ,</w:t>
      </w:r>
      <w:r>
        <w:rPr>
          <w:lang w:eastAsia="es-CO"/>
        </w:rPr>
        <w:t>tal que</w:t>
      </w:r>
    </w:p>
    <w:p w14:paraId="041B694C" w14:textId="77777777" w:rsidR="00FE1A8E" w:rsidRDefault="00FE1A8E">
      <w:pPr>
        <w:rPr>
          <w:lang w:eastAsia="es-CO"/>
        </w:rPr>
      </w:pPr>
    </w:p>
    <w:p w14:paraId="2AA34CA5" w14:textId="77777777" w:rsidR="00FE1A8E" w:rsidRDefault="00691556">
      <w:pPr>
        <w:rPr>
          <w:lang w:bidi="en-US"/>
        </w:rPr>
      </w:pPr>
      <m:oMath>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x</m:t>
                </m:r>
              </m:sub>
            </m:sSub>
            <m:r>
              <w:rPr>
                <w:rFonts w:ascii="Cambria Math" w:hAnsi="Cambria Math"/>
              </w:rPr>
              <m:t>B</m:t>
            </m:r>
          </m:e>
          <m:sub>
            <m:r>
              <w:rPr>
                <w:rFonts w:ascii="Cambria Math" w:hAnsi="Cambria Math"/>
              </w:rPr>
              <m:t>Iαβ</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αβ</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Iα</m:t>
            </m:r>
          </m:sub>
        </m:sSub>
        <m:r>
          <w:rPr>
            <w:rFonts w:ascii="Cambria Math" w:hAnsi="Cambria Math"/>
          </w:rPr>
          <m:t>-</m:t>
        </m:r>
        <m:sSub>
          <m:sSubPr>
            <m:ctrlPr>
              <w:rPr>
                <w:rFonts w:ascii="Cambria Math" w:hAnsi="Cambria Math"/>
              </w:rPr>
            </m:ctrlPr>
          </m:sSubPr>
          <m:e>
            <m:r>
              <w:rPr>
                <w:rFonts w:ascii="Cambria Math" w:hAnsi="Cambria Math"/>
              </w:rPr>
              <m:t>Δ</m:t>
            </m:r>
          </m:e>
          <m:sub>
            <m:r>
              <w:rPr>
                <w:rFonts w:ascii="Cambria Math" w:hAnsi="Cambria Math"/>
              </w:rPr>
              <m:t>Iβ</m:t>
            </m:r>
          </m:sub>
        </m:sSub>
      </m:oMath>
      <w:r w:rsidR="00084A57">
        <w:t>,                                         (12)</w:t>
      </w:r>
    </w:p>
    <w:p w14:paraId="55C02D15" w14:textId="77777777" w:rsidR="00FE1A8E" w:rsidRDefault="00FE1A8E">
      <w:pPr>
        <w:rPr>
          <w:lang w:eastAsia="es-CO"/>
        </w:rPr>
      </w:pPr>
    </w:p>
    <w:p w14:paraId="488E61FC" w14:textId="5A8858C0" w:rsidR="00FE1A8E" w:rsidRDefault="00084A57">
      <w:pPr>
        <w:rPr>
          <w:lang w:eastAsia="es-CO"/>
        </w:rPr>
      </w:pPr>
      <w:r>
        <w:rPr>
          <w:lang w:eastAsia="es-CO"/>
        </w:rPr>
        <w:t xml:space="preserve">Finalmente, </w:t>
      </w:r>
      <w:r w:rsidR="001A61F8">
        <w:rPr>
          <w:lang w:eastAsia="es-CO"/>
        </w:rPr>
        <w:t>combinando</w:t>
      </w:r>
      <w:r>
        <w:rPr>
          <w:lang w:eastAsia="es-CO"/>
        </w:rPr>
        <w:t xml:space="preserve"> la ecuación (9), (10) y (12) se obtiene la expresión para el tensor de Cauchy.</w:t>
      </w:r>
    </w:p>
    <w:p w14:paraId="1951D4D8" w14:textId="77777777" w:rsidR="00FE1A8E" w:rsidRDefault="00FE1A8E">
      <w:pPr>
        <w:rPr>
          <w:lang w:eastAsia="es-CO"/>
        </w:rPr>
      </w:pPr>
    </w:p>
    <w:p w14:paraId="735F2334" w14:textId="77777777" w:rsidR="00FE1A8E" w:rsidRDefault="00084A57">
      <w:pPr>
        <w:rPr>
          <w:lang w:bidi="en-US"/>
        </w:rPr>
      </w:pPr>
      <m:oMath>
        <m:r>
          <w:rPr>
            <w:rFonts w:ascii="Cambria Math" w:hAnsi="Cambria Math"/>
          </w:rPr>
          <m:t>σ</m:t>
        </m:r>
        <m:d>
          <m:dPr>
            <m:ctrlPr>
              <w:rPr>
                <w:rFonts w:ascii="Cambria Math" w:hAnsi="Cambria Math"/>
              </w:rPr>
            </m:ctrlPr>
          </m:dPr>
          <m:e>
            <m:r>
              <w:rPr>
                <w:rFonts w:ascii="Cambria Math" w:hAnsi="Cambria Math"/>
              </w:rPr>
              <m:t>x,t</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nary>
          <m:naryPr>
            <m:chr m:val="∑"/>
            <m:supHide m:val="1"/>
            <m:ctrlPr>
              <w:rPr>
                <w:rFonts w:ascii="Cambria Math" w:hAnsi="Cambria Math"/>
              </w:rPr>
            </m:ctrlPr>
          </m:naryPr>
          <m:sub>
            <m:r>
              <w:rPr>
                <w:rFonts w:ascii="Cambria Math" w:hAnsi="Cambria Math"/>
              </w:rPr>
              <m:t>I,α,β</m:t>
            </m:r>
          </m:sub>
          <m:sup/>
          <m:e>
            <m:sSub>
              <m:sSubPr>
                <m:ctrlPr>
                  <w:rPr>
                    <w:rFonts w:ascii="Cambria Math" w:hAnsi="Cambria Math"/>
                  </w:rPr>
                </m:ctrlPr>
              </m:sSubPr>
              <m:e>
                <m:r>
                  <w:rPr>
                    <w:rFonts w:ascii="Cambria Math" w:hAnsi="Cambria Math"/>
                  </w:rPr>
                  <m:t>f</m:t>
                </m:r>
              </m:e>
              <m:sub>
                <m:r>
                  <w:rPr>
                    <w:rFonts w:ascii="Cambria Math" w:hAnsi="Cambria Math"/>
                  </w:rPr>
                  <m:t>α,β</m:t>
                </m:r>
              </m:sub>
            </m:sSub>
          </m:e>
        </m:nary>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αβ</m:t>
            </m:r>
          </m:sub>
        </m:sSub>
        <m:sSub>
          <m:sSubPr>
            <m:ctrlPr>
              <w:rPr>
                <w:rFonts w:ascii="Cambria Math" w:hAnsi="Cambria Math"/>
              </w:rPr>
            </m:ctrlPr>
          </m:sSubPr>
          <m:e>
            <m:r>
              <w:rPr>
                <w:rFonts w:ascii="Cambria Math" w:hAnsi="Cambria Math"/>
              </w:rPr>
              <m:t>B</m:t>
            </m:r>
          </m:e>
          <m:sub>
            <m:r>
              <w:rPr>
                <w:rFonts w:ascii="Cambria Math" w:hAnsi="Cambria Math"/>
              </w:rPr>
              <m:t>Iαβ</m:t>
            </m:r>
          </m:sub>
        </m:sSub>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r>
          <w:rPr>
            <w:rFonts w:ascii="Cambria Math" w:hAnsi="Cambria Math"/>
          </w:rPr>
          <m:t>-</m:t>
        </m:r>
        <m:nary>
          <m:naryPr>
            <m:chr m:val="∑"/>
            <m:supHide m:val="1"/>
            <m:ctrlPr>
              <w:rPr>
                <w:rFonts w:ascii="Cambria Math" w:hAnsi="Cambria Math"/>
              </w:rPr>
            </m:ctrlPr>
          </m:naryPr>
          <m:sub>
            <m:r>
              <w:rPr>
                <w:rFonts w:ascii="Cambria Math" w:hAnsi="Cambria Math"/>
              </w:rPr>
              <m:t>I,α</m:t>
            </m:r>
          </m:sub>
          <m:sup/>
          <m:e>
            <m:sSub>
              <m:sSubPr>
                <m:ctrlPr>
                  <w:rPr>
                    <w:rFonts w:ascii="Cambria Math" w:hAnsi="Cambria Math"/>
                  </w:rPr>
                </m:ctrlPr>
              </m:sSubPr>
              <m:e>
                <m:r>
                  <w:rPr>
                    <w:rFonts w:ascii="Cambria Math" w:hAnsi="Cambria Math"/>
                  </w:rPr>
                  <m:t>m</m:t>
                </m:r>
              </m:e>
              <m:sub>
                <m:r>
                  <w:rPr>
                    <w:rFonts w:ascii="Cambria Math" w:hAnsi="Cambria Math"/>
                  </w:rPr>
                  <m:t>α</m:t>
                </m:r>
              </m:sub>
            </m:sSub>
            <m:sSub>
              <m:sSubPr>
                <m:ctrlPr>
                  <w:rPr>
                    <w:rFonts w:ascii="Cambria Math" w:hAnsi="Cambria Math"/>
                  </w:rPr>
                </m:ctrlPr>
              </m:sSubPr>
              <m:e>
                <m:r>
                  <w:rPr>
                    <w:rFonts w:ascii="Cambria Math" w:hAnsi="Cambria Math"/>
                  </w:rPr>
                  <m:t>w</m:t>
                </m:r>
              </m:e>
              <m:sub>
                <m:r>
                  <w:rPr>
                    <w:rFonts w:ascii="Cambria Math" w:hAnsi="Cambria Math"/>
                  </w:rPr>
                  <m:t>α</m:t>
                </m:r>
              </m:sub>
            </m:sSub>
            <m:r>
              <w:rPr>
                <w:rFonts w:ascii="Cambria Math" w:hAnsi="Cambria Math"/>
              </w:rPr>
              <m:t>⨂</m:t>
            </m:r>
          </m:e>
        </m:nary>
        <m:sSub>
          <m:sSubPr>
            <m:ctrlPr>
              <w:rPr>
                <w:rFonts w:ascii="Cambria Math" w:hAnsi="Cambria Math"/>
              </w:rPr>
            </m:ctrlPr>
          </m:sSubPr>
          <m:e>
            <m:r>
              <w:rPr>
                <w:rFonts w:ascii="Cambria Math" w:hAnsi="Cambria Math"/>
              </w:rPr>
              <m:t>w</m:t>
            </m:r>
          </m:e>
          <m:sub>
            <m:r>
              <w:rPr>
                <w:rFonts w:ascii="Cambria Math" w:hAnsi="Cambria Math"/>
              </w:rPr>
              <m:t>α</m:t>
            </m:r>
          </m:sub>
        </m:sSub>
        <m:sSub>
          <m:sSubPr>
            <m:ctrlPr>
              <w:rPr>
                <w:rFonts w:ascii="Cambria Math" w:hAnsi="Cambria Math"/>
              </w:rPr>
            </m:ctrlPr>
          </m:sSubPr>
          <m:e>
            <m:r>
              <w:rPr>
                <w:rFonts w:ascii="Cambria Math" w:hAnsi="Cambria Math"/>
              </w:rPr>
              <m:t>Δ</m:t>
            </m:r>
          </m:e>
          <m:sub>
            <m:r>
              <w:rPr>
                <w:rFonts w:ascii="Cambria Math" w:hAnsi="Cambria Math"/>
              </w:rPr>
              <m:t>Iα</m:t>
            </m:r>
          </m:sub>
        </m:sSub>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oMath>
      <w:r>
        <w:t>,                                         (13)</w:t>
      </w:r>
    </w:p>
    <w:p w14:paraId="23D67FB3" w14:textId="77777777" w:rsidR="00FE1A8E" w:rsidRDefault="00FE1A8E">
      <w:pPr>
        <w:rPr>
          <w:lang w:eastAsia="es-CO"/>
        </w:rPr>
      </w:pPr>
    </w:p>
    <w:p w14:paraId="76EDA89A" w14:textId="517B3132" w:rsidR="00FE1A8E" w:rsidRDefault="00084A57">
      <w:pPr>
        <w:rPr>
          <w:lang w:eastAsia="es-CO"/>
        </w:rPr>
      </w:pPr>
      <w:r>
        <w:rPr>
          <w:lang w:eastAsia="es-CO"/>
        </w:rPr>
        <w:t xml:space="preserve">Dónde la velocidad relativa se </w:t>
      </w:r>
      <w:r w:rsidR="00302C08">
        <w:rPr>
          <w:lang w:eastAsia="es-CO"/>
        </w:rPr>
        <w:t>define</w:t>
      </w:r>
      <w:r>
        <w:rPr>
          <w:lang w:eastAsia="es-CO"/>
        </w:rPr>
        <w:t xml:space="preserve"> como,</w:t>
      </w:r>
    </w:p>
    <w:p w14:paraId="166A0D17" w14:textId="77777777" w:rsidR="00FE1A8E" w:rsidRDefault="00FE1A8E">
      <w:pPr>
        <w:rPr>
          <w:lang w:eastAsia="es-CO"/>
        </w:rPr>
      </w:pPr>
    </w:p>
    <w:p w14:paraId="7D84E99E" w14:textId="77777777" w:rsidR="00FE1A8E" w:rsidRDefault="00691556">
      <w:pPr>
        <w:rPr>
          <w:lang w:bidi="en-US"/>
        </w:rPr>
      </w:pPr>
      <m:oMath>
        <m:sSub>
          <m:sSubPr>
            <m:ctrlPr>
              <w:rPr>
                <w:rFonts w:ascii="Cambria Math" w:hAnsi="Cambria Math"/>
              </w:rPr>
            </m:ctrlPr>
          </m:sSubPr>
          <m:e>
            <m:r>
              <w:rPr>
                <w:rFonts w:ascii="Cambria Math" w:hAnsi="Cambria Math"/>
              </w:rPr>
              <m:t>w</m:t>
            </m:r>
          </m:e>
          <m:sub>
            <m:r>
              <w:rPr>
                <w:rFonts w:ascii="Cambria Math" w:hAnsi="Cambria Math"/>
              </w:rPr>
              <m:t>α</m:t>
            </m:r>
          </m:sub>
        </m:sSub>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α</m:t>
            </m:r>
          </m:sub>
        </m:sSub>
        <m:r>
          <w:rPr>
            <w:rFonts w:ascii="Cambria Math" w:hAnsi="Cambria Math"/>
          </w:rPr>
          <m:t>-</m:t>
        </m:r>
        <m:nary>
          <m:naryPr>
            <m:chr m:val="∑"/>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Δ</m:t>
                </m:r>
              </m:e>
              <m:sub>
                <m:r>
                  <w:rPr>
                    <w:rFonts w:ascii="Cambria Math" w:hAnsi="Cambria Math"/>
                  </w:rPr>
                  <m:t>Iα</m:t>
                </m:r>
              </m:sub>
            </m:sSub>
            <m:sSub>
              <m:sSubPr>
                <m:ctrlPr>
                  <w:rPr>
                    <w:rFonts w:ascii="Cambria Math" w:hAnsi="Cambria Math"/>
                  </w:rPr>
                </m:ctrlPr>
              </m:sSubPr>
              <m:e>
                <m:r>
                  <w:rPr>
                    <w:rFonts w:ascii="Cambria Math" w:hAnsi="Cambria Math"/>
                  </w:rPr>
                  <m:t>v</m:t>
                </m:r>
              </m:e>
              <m:sub>
                <m:r>
                  <w:rPr>
                    <w:rFonts w:ascii="Cambria Math" w:hAnsi="Cambria Math"/>
                  </w:rPr>
                  <m:t>I</m:t>
                </m:r>
              </m:sub>
            </m:sSub>
          </m:e>
        </m:nary>
        <m: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α</m:t>
            </m:r>
          </m:sub>
        </m:sSub>
        <m: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rPr>
                </m:ctrlPr>
              </m:sSubPr>
              <m:e>
                <m:r>
                  <w:rPr>
                    <w:rFonts w:ascii="Cambria Math" w:hAnsi="Cambria Math"/>
                  </w:rPr>
                  <m:t>V</m:t>
                </m:r>
              </m:e>
              <m:sub>
                <m:r>
                  <w:rPr>
                    <w:rFonts w:ascii="Cambria Math" w:hAnsi="Cambria Math"/>
                  </w:rPr>
                  <m:t>I</m:t>
                </m:r>
              </m:sub>
            </m:sSub>
          </m:den>
        </m:f>
        <m:nary>
          <m:naryPr>
            <m:chr m:val="∑"/>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N</m:t>
                </m:r>
              </m:e>
              <m:sub>
                <m:r>
                  <w:rPr>
                    <w:rFonts w:ascii="Cambria Math" w:hAnsi="Cambria Math"/>
                  </w:rPr>
                  <m:t>Iα</m:t>
                </m:r>
              </m:sub>
            </m:sSub>
            <m:sSub>
              <m:sSubPr>
                <m:ctrlPr>
                  <w:rPr>
                    <w:rFonts w:ascii="Cambria Math" w:hAnsi="Cambria Math"/>
                  </w:rPr>
                </m:ctrlPr>
              </m:sSubPr>
              <m:e>
                <m:r>
                  <w:rPr>
                    <w:rFonts w:ascii="Cambria Math" w:hAnsi="Cambria Math"/>
                  </w:rPr>
                  <m:t>v</m:t>
                </m:r>
              </m:e>
              <m:sub>
                <m:r>
                  <w:rPr>
                    <w:rFonts w:ascii="Cambria Math" w:hAnsi="Cambria Math"/>
                  </w:rPr>
                  <m:t>I</m:t>
                </m:r>
              </m:sub>
            </m:sSub>
          </m:e>
        </m:nary>
      </m:oMath>
      <w:r w:rsidR="00084A57">
        <w:t>,               (14)</w:t>
      </w:r>
    </w:p>
    <w:p w14:paraId="6F03506D" w14:textId="77777777" w:rsidR="00FE1A8E" w:rsidRDefault="00FE1A8E">
      <w:pPr>
        <w:rPr>
          <w:lang w:eastAsia="es-CO"/>
        </w:rPr>
      </w:pPr>
    </w:p>
    <w:p w14:paraId="6D315384" w14:textId="77777777" w:rsidR="00FE1A8E" w:rsidRDefault="00084A57">
      <w:pPr>
        <w:rPr>
          <w:lang w:eastAsia="es-CO"/>
        </w:rPr>
      </w:pPr>
      <w:r>
        <w:rPr>
          <w:lang w:eastAsia="es-CO"/>
        </w:rPr>
        <w:t>Similarmente, se obtiene la expresión en configuración Lagrangiana/material que deriva en el primer tensor de Piola-Kirchhoff,</w:t>
      </w:r>
    </w:p>
    <w:p w14:paraId="185DDAC7" w14:textId="77777777" w:rsidR="00FE1A8E" w:rsidRDefault="00FE1A8E">
      <w:pPr>
        <w:rPr>
          <w:lang w:eastAsia="es-CO"/>
        </w:rPr>
      </w:pPr>
    </w:p>
    <w:p w14:paraId="639EC674" w14:textId="77777777" w:rsidR="00FE1A8E" w:rsidRPr="0021596F" w:rsidRDefault="00084A57">
      <m:oMath>
        <m:r>
          <w:rPr>
            <w:rFonts w:ascii="Cambria Math" w:hAnsi="Cambria Math"/>
          </w:rPr>
          <m:t>S</m:t>
        </m:r>
        <m:d>
          <m:dPr>
            <m:ctrlPr>
              <w:rPr>
                <w:rFonts w:ascii="Cambria Math" w:hAnsi="Cambria Math"/>
              </w:rPr>
            </m:ctrlPr>
          </m:dPr>
          <m:e>
            <m:r>
              <w:rPr>
                <w:rFonts w:ascii="Cambria Math" w:hAnsi="Cambria Math"/>
              </w:rPr>
              <m:t>X,t</m:t>
            </m:r>
          </m:e>
        </m:d>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nary>
          <m:naryPr>
            <m:chr m:val="∑"/>
            <m:supHide m:val="1"/>
            <m:ctrlPr>
              <w:rPr>
                <w:rFonts w:ascii="Cambria Math" w:hAnsi="Cambria Math"/>
              </w:rPr>
            </m:ctrlPr>
          </m:naryPr>
          <m:sub>
            <m:r>
              <w:rPr>
                <w:rFonts w:ascii="Cambria Math" w:hAnsi="Cambria Math"/>
              </w:rPr>
              <m:t>I,α,β</m:t>
            </m:r>
          </m:sub>
          <m:sup/>
          <m:e>
            <m:sSub>
              <m:sSubPr>
                <m:ctrlPr>
                  <w:rPr>
                    <w:rFonts w:ascii="Cambria Math" w:hAnsi="Cambria Math"/>
                  </w:rPr>
                </m:ctrlPr>
              </m:sSubPr>
              <m:e>
                <m:r>
                  <w:rPr>
                    <w:rFonts w:ascii="Cambria Math" w:hAnsi="Cambria Math"/>
                  </w:rPr>
                  <m:t>f</m:t>
                </m:r>
              </m:e>
              <m:sub>
                <m:r>
                  <w:rPr>
                    <w:rFonts w:ascii="Cambria Math" w:hAnsi="Cambria Math"/>
                  </w:rPr>
                  <m:t>α,β</m:t>
                </m:r>
              </m:sub>
            </m:sSub>
          </m:e>
        </m:nary>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αβ</m:t>
            </m:r>
          </m:sub>
        </m:sSub>
        <m:sSub>
          <m:sSubPr>
            <m:ctrlPr>
              <w:rPr>
                <w:rFonts w:ascii="Cambria Math" w:hAnsi="Cambria Math"/>
              </w:rPr>
            </m:ctrlPr>
          </m:sSubPr>
          <m:e>
            <m:r>
              <w:rPr>
                <w:rFonts w:ascii="Cambria Math" w:hAnsi="Cambria Math"/>
              </w:rPr>
              <m:t>B</m:t>
            </m:r>
          </m:e>
          <m:sub>
            <m:r>
              <w:rPr>
                <w:rFonts w:ascii="Cambria Math" w:hAnsi="Cambria Math"/>
              </w:rPr>
              <m:t>Iαβ</m:t>
            </m:r>
          </m:sub>
        </m:sSub>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oMath>
      <w:r>
        <w:t>,           (15)</w:t>
      </w:r>
    </w:p>
    <w:p w14:paraId="5D3038E4" w14:textId="77777777" w:rsidR="00FE1A8E" w:rsidRPr="0021596F" w:rsidRDefault="00FE1A8E"/>
    <w:p w14:paraId="1E035A1F" w14:textId="72DD0F61" w:rsidR="00FE1A8E" w:rsidRDefault="00084A57">
      <w:pPr>
        <w:rPr>
          <w:rFonts w:eastAsiaTheme="minorEastAsia"/>
        </w:rPr>
      </w:pPr>
      <w:r>
        <w:t xml:space="preserve">Para el cálculo de esfuerzos </w:t>
      </w:r>
      <w:r w:rsidR="003C5DB7">
        <w:t>se usó</w:t>
      </w:r>
      <w:r>
        <w:t xml:space="preserve"> el paquete de Lammps USER-ATC considerando el nano cristal, </w:t>
      </w:r>
      <w:r>
        <w:t xml:space="preserve">únicamente, en el instante antes de la fractura. Esto permite simular un estado </w:t>
      </w:r>
      <w:proofErr w:type="spellStart"/>
      <w:r>
        <w:t>cuasi-estático</w:t>
      </w:r>
      <w:proofErr w:type="spellEnd"/>
      <w:r>
        <w:t xml:space="preserve"> del problema de deformación del nano cristal y obtener el valor de esfuerzo máximo de tensión del cristal antes de la fractura. Para esto, el cristal es discretizado con una malla hexaédrica igualmente espaciada en las diferentes direcciones. Adicionalmente, se establece una región de “átomos fantasmas” con una longitud de 2 veces el parámetro de red en cada extremo de la dirección </w:t>
      </w:r>
      <m:oMath>
        <m:acc>
          <m:accPr>
            <m:chr m:val="⃗"/>
            <m:ctrlPr>
              <w:rPr>
                <w:rFonts w:ascii="Cambria Math" w:hAnsi="Cambria Math"/>
              </w:rPr>
            </m:ctrlPr>
          </m:accPr>
          <m:e>
            <m:r>
              <w:rPr>
                <w:rFonts w:ascii="Cambria Math" w:hAnsi="Cambria Math"/>
              </w:rPr>
              <m:t>x</m:t>
            </m:r>
          </m:e>
        </m:acc>
      </m:oMath>
      <w:r>
        <w:t xml:space="preserve"> con el fin de evitar el efecto de la superficie libre en el cálculo y que detalla Zimmerman et al. en </w:t>
      </w:r>
      <w:r>
        <w:fldChar w:fldCharType="begin" w:fldLock="1"/>
      </w:r>
      <w:r w:rsidR="00E71688">
        <w:instrText>ADDIN CSL_CITATION {"citationItems":[{"id":"ITEM-1","itemData":{"DOI":"10.1088/0965-0393/12/4/S03","ISSN":"09650393","abstract":"Atomistic simulation is a useful method for studying material science phenomena. Examination of the state of a simulated material and the determination of its mechanical properties is accomplished by inspecting the stress field within the material. However, stress is inherently a continuum concept and has been proven difficult to define in a physically reasonable manner at the atomic scale. In this paper, an expression for continuum mechanical stress in atomistic systems derived by Hardy is compared with the expression for atomic stress taken from the virial theorem. Hardy's stress expression is evaluated at a fixed spatial point and uses a localization function to dictate how nearby atoms contribute to the stress at that point; thereby performing a local spatial averaging. For systems subjected to deformation, finite temperature, or both, the Hardy description of stress as a function of increasing characteristic volume displays a quicker convergence to values expected from continuum theory than volume averages of the local virial stress. Results are presented on extending Hardy's spatial averaging technique to include temporal averaging for finite temperature systems. Finally, the behaviour of Hardy's expression near a free surface is examined, and is found to be consistent with the mechanical definition for stress.","author":[{"dropping-particle":"","family":"Zimmerman","given":"J. A.","non-dropping-particle":"","parse-names":false,"suffix":""},{"dropping-particle":"","family":"Webb","given":"E. B.","non-dropping-particle":"","parse-names":false,"suffix":""},{"dropping-particle":"","family":"Hoyt","given":"J. J.","non-dropping-particle":"","parse-names":false,"suffix":""},{"dropping-particle":"","family":"Jones","given":"R. E.","non-dropping-particle":"","parse-names":false,"suffix":""},{"dropping-particle":"","family":"Klein","given":"P. A.","non-dropping-particle":"","parse-names":false,"suffix":""},{"dropping-particle":"","family":"Bammann","given":"D. J.","non-dropping-particle":"","parse-names":false,"suffix":""}],"container-title":"Modelling and Simulation in Materials Science and Engineering","id":"ITEM-1","issue":"4","issued":{"date-parts":[["2004"]]},"title":"Calculation of stress in atomistic simulation","type":"article-journal","volume":"12"},"uris":["http://www.mendeley.com/documents/?uuid=16cd14b3-cb32-4996-9ccf-c6900b487d6f"]}],"mendeley":{"formattedCitation":"[31]","plainTextFormattedCitation":"[31]","previouslyFormattedCitation":"[30]"},"properties":{"noteIndex":0},"schema":"https://github.com/citation-style-language/schema/raw/master/csl-citation.json"}</w:instrText>
      </w:r>
      <w:r>
        <w:fldChar w:fldCharType="separate"/>
      </w:r>
      <w:r w:rsidR="00E71688" w:rsidRPr="00E71688">
        <w:rPr>
          <w:noProof/>
        </w:rPr>
        <w:t>[31]</w:t>
      </w:r>
      <w:r>
        <w:fldChar w:fldCharType="end"/>
      </w:r>
      <w:r>
        <w:t>. Posteriormente, para los esfuerzos es necesario implementar una función de localización Kernel-polinomial de volumen esférico que permitirá establecer un punto material sobre el que se harán los cálculos basados en los átomos que estén dentro del radio de acción de la función.</w:t>
      </w:r>
      <w:r w:rsidR="00631D9E">
        <w:t xml:space="preserve"> En este sentido, </w:t>
      </w:r>
      <w:r>
        <w:t xml:space="preserve">se establece un radio </w:t>
      </w:r>
      <m:oMath>
        <m:sSub>
          <m:sSubPr>
            <m:ctrlPr>
              <w:rPr>
                <w:rFonts w:ascii="Cambria Math" w:hAnsi="Cambria Math"/>
              </w:rPr>
            </m:ctrlPr>
          </m:sSubPr>
          <m:e>
            <m:r>
              <w:rPr>
                <w:rFonts w:ascii="Cambria Math" w:hAnsi="Cambria Math"/>
              </w:rPr>
              <m:t>R</m:t>
            </m:r>
          </m:e>
          <m:sub>
            <m:r>
              <w:rPr>
                <w:rFonts w:ascii="Cambria Math" w:hAnsi="Cambria Math"/>
              </w:rPr>
              <m:t>a</m:t>
            </m:r>
          </m:sub>
        </m:sSub>
        <m:r>
          <w:rPr>
            <w:rFonts w:ascii="Cambria Math" w:hAnsi="Cambria Math"/>
          </w:rPr>
          <m:t>=3a</m:t>
        </m:r>
      </m:oMath>
      <w:r>
        <w:t xml:space="preserve"> sobre el que se hará el promedio de cantidades atómicas y que contempla el criterio de convergencia hallado por Reese et al en </w:t>
      </w:r>
      <w:r>
        <w:fldChar w:fldCharType="begin" w:fldLock="1"/>
      </w:r>
      <w:r w:rsidR="00E71688">
        <w:instrText>ADDIN CSL_CITATION {"citationItems":[{"id":"ITEM-1","itemData":{"DOI":"10.1016/j.jmps.2010.06.001","ISSN":"00225096","abstract":"In this work we apply a Lagrangian kernel-based estimator of continuum fields to atomic data in order to estimate the J-integral for the analysis of cracks and dislocations. We show that this method has the properties of: consistency between the energy, stress and deformation fields; path independence of the contour integrals of the Eshelby stress; and excellent correlation with linear elastic fracture mechanics theory for appropriately constructed simulations. We discuss the appropriate reference configuration and reference energy for this type of analysis. Lastly, we use canonical examples to demonstrate that the proposed method is a direct and rational approach for estimating the configurational forces on atomic defects. © 2010 Elsevier Ltd. All rights reserved.","author":[{"dropping-particle":"","family":"Jones","given":"Reese E.","non-dropping-particle":"","parse-names":false,"suffix":""},{"dropping-particle":"","family":"Zimmerman","given":"Jonathan A.","non-dropping-particle":"","parse-names":false,"suffix":""}],"container-title":"Journal of the Mechanics and Physics of Solids","id":"ITEM-1","issue":"9","issued":{"date-parts":[["2010"]]},"page":"1318-1337","publisher":"Elsevier","title":"The construction and application of an atomistic J-integral via Hardy estimates of continuum fields","type":"article-journal","volume":"58"},"uris":["http://www.mendeley.com/documents/?uuid=4911f7d8-c39d-4c73-ac71-5d605464fc5b"]}],"mendeley":{"formattedCitation":"[32]","plainTextFormattedCitation":"[32]","previouslyFormattedCitation":"[31]"},"properties":{"noteIndex":0},"schema":"https://github.com/citation-style-language/schema/raw/master/csl-citation.json"}</w:instrText>
      </w:r>
      <w:r>
        <w:fldChar w:fldCharType="separate"/>
      </w:r>
      <w:r w:rsidR="00E71688" w:rsidRPr="00E71688">
        <w:rPr>
          <w:noProof/>
        </w:rPr>
        <w:t>[32]</w:t>
      </w:r>
      <w:r>
        <w:fldChar w:fldCharType="end"/>
      </w:r>
      <w:r>
        <w:t xml:space="preserve">. Para la solución de la integración de la función de enlace </w:t>
      </w:r>
      <m:oMath>
        <m:sSub>
          <m:sSubPr>
            <m:ctrlPr>
              <w:rPr>
                <w:rFonts w:ascii="Cambria Math" w:hAnsi="Cambria Math"/>
              </w:rPr>
            </m:ctrlPr>
          </m:sSubPr>
          <m:e>
            <m:r>
              <w:rPr>
                <w:rFonts w:ascii="Cambria Math" w:hAnsi="Cambria Math"/>
              </w:rPr>
              <m:t>B</m:t>
            </m:r>
          </m:e>
          <m:sub>
            <m:r>
              <w:rPr>
                <w:rFonts w:ascii="Cambria Math" w:hAnsi="Cambria Math"/>
              </w:rPr>
              <m:t>Iαβ</m:t>
            </m:r>
          </m:sub>
        </m:sSub>
      </m:oMath>
      <w:r>
        <w:rPr>
          <w:rFonts w:eastAsiaTheme="minorEastAsia"/>
        </w:rPr>
        <w:t xml:space="preserve"> se usa la cuadratura de Gauss de 10 puntos. Estos valores son asignados en la malla de elementos finitos a los nodos e interpolados a través de las funciones de forma </w:t>
      </w:r>
      <m:oMath>
        <m:sSub>
          <m:sSubPr>
            <m:ctrlPr>
              <w:rPr>
                <w:rFonts w:ascii="Cambria Math" w:hAnsi="Cambria Math"/>
              </w:rPr>
            </m:ctrlPr>
          </m:sSubPr>
          <m:e>
            <m:r>
              <w:rPr>
                <w:rFonts w:ascii="Cambria Math" w:hAnsi="Cambria Math"/>
              </w:rPr>
              <m:t>N</m:t>
            </m:r>
          </m:e>
          <m:sub>
            <m:r>
              <w:rPr>
                <w:rFonts w:ascii="Cambria Math" w:hAnsi="Cambria Math"/>
              </w:rPr>
              <m:t>I</m:t>
            </m:r>
          </m:sub>
        </m:sSub>
        <m:d>
          <m:dPr>
            <m:ctrlPr>
              <w:rPr>
                <w:rFonts w:ascii="Cambria Math" w:hAnsi="Cambria Math"/>
              </w:rPr>
            </m:ctrlPr>
          </m:dPr>
          <m:e>
            <m:r>
              <w:rPr>
                <w:rFonts w:ascii="Cambria Math" w:hAnsi="Cambria Math"/>
              </w:rPr>
              <m:t>x</m:t>
            </m:r>
          </m:e>
        </m:d>
      </m:oMath>
      <w:r>
        <w:rPr>
          <w:rFonts w:eastAsiaTheme="minorEastAsia"/>
          <w:lang w:bidi="en-US"/>
        </w:rPr>
        <w:t xml:space="preserve"> </w:t>
      </w:r>
      <w:r>
        <w:rPr>
          <w:rFonts w:eastAsiaTheme="minorEastAsia"/>
        </w:rPr>
        <w:t xml:space="preserve">bilineales características de los elementos hexaédricos </w:t>
      </w:r>
      <w:r>
        <w:fldChar w:fldCharType="begin" w:fldLock="1"/>
      </w:r>
      <w:r w:rsidR="00E71688">
        <w:instrText>ADDIN CSL_CITATION {"citationItems":[{"id":"ITEM-1","itemData":{"author":[{"dropping-particle":"","family":"Hughes","given":"Thomas J.R.","non-dropping-particle":"","parse-names":false,"suffix":""}],"editor":[{"dropping-particle":"","family":"Prentice-Hall","given":"","non-dropping-particle":"","parse-names":false,"suffix":""}],"id":"ITEM-1","issued":{"date-parts":[["1978"]]},"publisher-place":"New Jersey","title":"The Finite Element Method Linear Static and Dynamic Finite Element Analysis","type":"book"},"uris":["http://www.mendeley.com/documents/?uuid=f3764cd3-2a79-46f6-a842-136fe914c2b1"]}],"mendeley":{"formattedCitation":"[37]","plainTextFormattedCitation":"[37]","previouslyFormattedCitation":"[36]"},"properties":{"noteIndex":0},"schema":"https://github.com/citation-style-language/schema/raw/master/csl-citation.json"}</w:instrText>
      </w:r>
      <w:r>
        <w:fldChar w:fldCharType="separate"/>
      </w:r>
      <w:r w:rsidR="00E71688" w:rsidRPr="00E71688">
        <w:rPr>
          <w:rFonts w:eastAsiaTheme="minorEastAsia"/>
          <w:noProof/>
        </w:rPr>
        <w:t>[37]</w:t>
      </w:r>
      <w:r>
        <w:fldChar w:fldCharType="end"/>
      </w:r>
      <w:r>
        <w:rPr>
          <w:rFonts w:eastAsiaTheme="minorEastAsia"/>
        </w:rPr>
        <w:t xml:space="preserve">. </w:t>
      </w:r>
    </w:p>
    <w:p w14:paraId="01A52232" w14:textId="2B5688A6" w:rsidR="00FE1A8E" w:rsidRDefault="00084A57">
      <w:pPr>
        <w:rPr>
          <w:rFonts w:eastAsiaTheme="minorEastAsia"/>
        </w:rPr>
      </w:pPr>
      <w:r>
        <w:rPr>
          <w:rFonts w:eastAsiaTheme="minorEastAsia"/>
        </w:rPr>
        <w:t xml:space="preserve">Teniendo en cuenta que el método ATC calcula el tensor de esfuerzos en configuración Lagrangiana/material, es decir el primer esfuerzo de Piola-Kirchoff, es necesario aplicar la transformada de este para calcular el tensor de Cauchy tal como lo indica Zimmerman et al en </w:t>
      </w:r>
      <w:r>
        <w:fldChar w:fldCharType="begin" w:fldLock="1"/>
      </w:r>
      <w:r w:rsidR="00E71688">
        <w:instrText>ADDIN CSL_CITATION {"citationItems":[{"id":"ITEM-1","itemData":{"DOI":"10.1016/j.jcp.2009.11.039","ISSN":"10902716","abstract":"We present a material frame formulation analogous to the spatial frame formulation developed by Hardy, whereby expressions for continuum mechanical variables such as stress and heat flux are derived from atomic-scale quantities intrinsic to molecular simulation. This formulation is ideally suited for developing an atomistic-to-continuum correspondence for solid mechanics problems. We derive expressions for the first Piola-Kirchhoff (P-K) stress tensor and the material frame heat flux vector directly from the momentum and energy balances using localization functions in a reference configuration. The resulting P-K stress tensor, unlike the Cauchy expression, has no explicit kinetic contribution. The referential heat flux vector likewise lacks the kinetic contribution appearing in its spatial frame counterpart. Using a proof for a special case and molecular dynamics simulations, we show that our P-K stress expression nonetheless represents a full measure of stress that is consistent with both the system virial and the Cauchy stress expression developed by Hardy. We also present an expanded formulation to define continuum variables from micromorphic continuum theory, which is suitable for the analysis of materials represented by directional bonding at the atomic scale. © 2009 Elsevier Inc.","author":[{"dropping-particle":"","family":"Zimmerman","given":"Jonathan A.","non-dropping-particle":"","parse-names":false,"suffix":""},{"dropping-particle":"","family":"Jones","given":"Reese E.","non-dropping-particle":"","parse-names":false,"suffix":""},{"dropping-particle":"","family":"Templeton","given":"Jeremy A.","non-dropping-particle":"","parse-names":false,"suffix":""}],"container-title":"Journal of Computational Physics","id":"ITEM-1","issue":"6","issued":{"date-parts":[["2010"]]},"page":"2364-2389","publisher":"Elsevier Inc.","title":"A material frame approach for evaluating continuum variables in atomistic simulations","type":"article-journal","volume":"229"},"uris":["http://www.mendeley.com/documents/?uuid=be0c341f-8bc2-439f-92e8-a0991b69c4fb"]}],"mendeley":{"formattedCitation":"[33]","plainTextFormattedCitation":"[33]","previouslyFormattedCitation":"[32]"},"properties":{"noteIndex":0},"schema":"https://github.com/citation-style-language/schema/raw/master/csl-citation.json"}</w:instrText>
      </w:r>
      <w:r>
        <w:fldChar w:fldCharType="separate"/>
      </w:r>
      <w:r w:rsidR="00E71688" w:rsidRPr="00E71688">
        <w:rPr>
          <w:rFonts w:eastAsiaTheme="minorEastAsia"/>
          <w:noProof/>
        </w:rPr>
        <w:t>[33]</w:t>
      </w:r>
      <w:r>
        <w:fldChar w:fldCharType="end"/>
      </w:r>
      <w:r>
        <w:rPr>
          <w:rFonts w:eastAsiaTheme="minorEastAsia"/>
        </w:rPr>
        <w:t xml:space="preserve"> para compararlo con los resultados de la formulación de Hardy. Sin embargo, veremos que el tensor de Piola-Kirchoff es consistente con el tensor de Cauchy debido a que la contribución de la energía cinética es despreciable comparada con la energía potencial para sistemas en condiciones de temperatura menor a </w:t>
      </w:r>
      <m:oMath>
        <m:f>
          <m:fPr>
            <m:ctrlPr>
              <w:rPr>
                <w:rFonts w:ascii="Cambria Math" w:hAnsi="Cambria Math"/>
              </w:rPr>
            </m:ctrlPr>
          </m:fPr>
          <m:num>
            <m:r>
              <w:rPr>
                <w:rFonts w:ascii="Cambria Math" w:hAnsi="Cambria Math"/>
              </w:rPr>
              <m:t>1</m:t>
            </m:r>
          </m:num>
          <m:den>
            <m:r>
              <w:rPr>
                <w:rFonts w:ascii="Cambria Math" w:hAnsi="Cambria Math"/>
              </w:rPr>
              <m:t>8</m:t>
            </m:r>
          </m:den>
        </m:f>
      </m:oMath>
      <w:r>
        <w:rPr>
          <w:rFonts w:eastAsiaTheme="minorEastAsia"/>
        </w:rPr>
        <w:t xml:space="preserve"> de la temperatura de fusión tal como lo demostró Jones et al en </w:t>
      </w:r>
      <w:r>
        <w:fldChar w:fldCharType="begin" w:fldLock="1"/>
      </w:r>
      <w:r w:rsidR="00E71688">
        <w:instrText>ADDIN CSL_CITATION {"citationItems":[{"id":"ITEM-1","itemData":{"DOI":"10.1088/0953-8984/23/1/015002","ISSN":"09538984","abstract":"In this work we apply a material-frame, kernel-based estimator of continuum fields to atomic data in order to estimate the J-integral for the analysis of an atomically sharp crack at finite temperatures. Instead of the potential energy appropriate for zero temperature calculations, we employ the quasi-harmonic free energy as an estimator of the Helmholtz free energy required by the Eshelby stress in isothermal conditions. We employ the simplest of the quasi-harmonic models, the local harmonic model of LeSar and co-workers, and verify that it is adequate for correction of the zero temperature J-integral expression for various deformation states for our Lennard-Jones test material. We show that this method has the properties of: consistency among the energy, stress and deformation fields; path independence of the contour integrals of the Eshelby stress; and excellent correlation with linear elastic fracture mechanics theory. © 2011 IOP Publishing Ltd.","author":[{"dropping-particle":"","family":"Jones","given":"R. E.","non-dropping-particle":"","parse-names":false,"suffix":""},{"dropping-particle":"","family":"Zimmerman","given":"J. A.","non-dropping-particle":"","parse-names":false,"suffix":""},{"dropping-particle":"","family":"Oswald","given":"J.","non-dropping-particle":"","parse-names":false,"suffix":""},{"dropping-particle":"","family":"Belytschko","given":"T.","non-dropping-particle":"","parse-names":false,"suffix":""}],"container-title":"Journal of Physics Condensed Matter","id":"ITEM-1","issue":"1","issued":{"date-parts":[["2011"]]},"title":"An atomistic J-integral at finite temperature based on hardy estimates of continuum fields","type":"article-journal","volume":"23"},"uris":["http://www.mendeley.com/documents/?uuid=86333525-1265-4a4a-9ace-b53eb5acedaf"]}],"mendeley":{"formattedCitation":"[34]","plainTextFormattedCitation":"[34]","previouslyFormattedCitation":"[33]"},"properties":{"noteIndex":0},"schema":"https://github.com/citation-style-language/schema/raw/master/csl-citation.json"}</w:instrText>
      </w:r>
      <w:r>
        <w:fldChar w:fldCharType="separate"/>
      </w:r>
      <w:r w:rsidR="00E71688" w:rsidRPr="00E71688">
        <w:rPr>
          <w:rFonts w:eastAsiaTheme="minorEastAsia"/>
          <w:noProof/>
        </w:rPr>
        <w:t>[34]</w:t>
      </w:r>
      <w:r>
        <w:fldChar w:fldCharType="end"/>
      </w:r>
      <w:r>
        <w:rPr>
          <w:rFonts w:eastAsiaTheme="minorEastAsia"/>
        </w:rPr>
        <w:t xml:space="preserve">. </w:t>
      </w:r>
    </w:p>
    <w:p w14:paraId="371D7DDB" w14:textId="77777777" w:rsidR="00FE1A8E" w:rsidRDefault="00FE1A8E">
      <w:pPr>
        <w:rPr>
          <w:rFonts w:eastAsiaTheme="minorEastAsia"/>
        </w:rPr>
      </w:pPr>
    </w:p>
    <w:p w14:paraId="0171FC0D" w14:textId="77777777" w:rsidR="00FE1A8E" w:rsidRPr="0021596F" w:rsidRDefault="00691556">
      <w:pPr>
        <w:jc w:val="right"/>
      </w:pPr>
      <m:oMath>
        <m:f>
          <m:fPr>
            <m:ctrlPr>
              <w:rPr>
                <w:rFonts w:ascii="Cambria Math" w:hAnsi="Cambria Math"/>
              </w:rPr>
            </m:ctrlPr>
          </m:fPr>
          <m:num>
            <m:r>
              <w:rPr>
                <w:rFonts w:ascii="Cambria Math" w:hAnsi="Cambria Math"/>
              </w:rPr>
              <m:t>1</m:t>
            </m:r>
          </m:num>
          <m:den>
            <m:r>
              <w:rPr>
                <w:rFonts w:ascii="Cambria Math" w:hAnsi="Cambria Math"/>
              </w:rPr>
              <m:t>J</m:t>
            </m:r>
          </m:den>
        </m:f>
        <m:r>
          <w:rPr>
            <w:rFonts w:ascii="Cambria Math" w:hAnsi="Cambria Math"/>
          </w:rPr>
          <m:t>S∙</m:t>
        </m:r>
        <m:sSup>
          <m:sSupPr>
            <m:ctrlPr>
              <w:rPr>
                <w:rFonts w:ascii="Cambria Math" w:hAnsi="Cambria Math"/>
              </w:rPr>
            </m:ctrlPr>
          </m:sSupPr>
          <m:e>
            <m:r>
              <w:rPr>
                <w:rFonts w:ascii="Cambria Math" w:hAnsi="Cambria Math"/>
              </w:rPr>
              <m:t>F</m:t>
            </m:r>
          </m:e>
          <m:sup>
            <m:r>
              <w:rPr>
                <w:rFonts w:ascii="Cambria Math" w:hAnsi="Cambria Math"/>
              </w:rPr>
              <m:t>T</m:t>
            </m:r>
          </m:sup>
        </m:sSup>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J</m:t>
            </m:r>
          </m:den>
        </m:f>
        <m:nary>
          <m:naryPr>
            <m:chr m:val="∑"/>
            <m:supHide m:val="1"/>
            <m:ctrlPr>
              <w:rPr>
                <w:rFonts w:ascii="Cambria Math" w:hAnsi="Cambria Math"/>
              </w:rPr>
            </m:ctrlPr>
          </m:naryPr>
          <m:sub>
            <m:r>
              <w:rPr>
                <w:rFonts w:ascii="Cambria Math" w:hAnsi="Cambria Math"/>
              </w:rPr>
              <m:t>α=1</m:t>
            </m:r>
          </m:sub>
          <m:sup/>
          <m:e>
            <m:nary>
              <m:naryPr>
                <m:chr m:val="∑"/>
                <m:supHide m:val="1"/>
                <m:ctrlPr>
                  <w:rPr>
                    <w:rFonts w:ascii="Cambria Math" w:hAnsi="Cambria Math"/>
                  </w:rPr>
                </m:ctrlPr>
              </m:naryPr>
              <m:sub>
                <m:r>
                  <w:rPr>
                    <w:rFonts w:ascii="Cambria Math" w:hAnsi="Cambria Math"/>
                  </w:rPr>
                  <m:t>β≠α</m:t>
                </m:r>
              </m:sub>
              <m:sup/>
              <m:e>
                <m:sSub>
                  <m:sSubPr>
                    <m:ctrlPr>
                      <w:rPr>
                        <w:rFonts w:ascii="Cambria Math" w:hAnsi="Cambria Math"/>
                      </w:rPr>
                    </m:ctrlPr>
                  </m:sSubPr>
                  <m:e>
                    <m:r>
                      <w:rPr>
                        <w:rFonts w:ascii="Cambria Math" w:hAnsi="Cambria Math"/>
                      </w:rPr>
                      <m:t>f</m:t>
                    </m:r>
                  </m:e>
                  <m:sub>
                    <m:r>
                      <w:rPr>
                        <w:rFonts w:ascii="Cambria Math" w:hAnsi="Cambria Math"/>
                      </w:rPr>
                      <m:t>α,β</m:t>
                    </m:r>
                  </m:sub>
                </m:sSub>
              </m:e>
            </m:nary>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αβ</m:t>
                </m:r>
              </m:sub>
            </m:sSub>
            <m:sSub>
              <m:sSubPr>
                <m:ctrlPr>
                  <w:rPr>
                    <w:rFonts w:ascii="Cambria Math" w:hAnsi="Cambria Math"/>
                  </w:rPr>
                </m:ctrlPr>
              </m:sSubPr>
              <m:e>
                <m:r>
                  <w:rPr>
                    <w:rFonts w:ascii="Cambria Math" w:hAnsi="Cambria Math"/>
                  </w:rPr>
                  <m:t>B</m:t>
                </m:r>
              </m:e>
              <m:sub>
                <m:r>
                  <w:rPr>
                    <w:rFonts w:ascii="Cambria Math" w:hAnsi="Cambria Math"/>
                  </w:rPr>
                  <m:t>Iαβ</m:t>
                </m:r>
              </m:sub>
            </m:sSub>
            <m:d>
              <m:dPr>
                <m:ctrlPr>
                  <w:rPr>
                    <w:rFonts w:ascii="Cambria Math" w:hAnsi="Cambria Math"/>
                  </w:rPr>
                </m:ctrlPr>
              </m:dPr>
              <m:e>
                <m:r>
                  <w:rPr>
                    <w:rFonts w:ascii="Cambria Math" w:hAnsi="Cambria Math"/>
                  </w:rPr>
                  <m:t>X</m:t>
                </m:r>
              </m:e>
            </m:d>
            <m:r>
              <w:rPr>
                <w:rFonts w:ascii="Cambria Math" w:hAnsi="Cambria Math"/>
              </w:rPr>
              <m:t>∙</m:t>
            </m:r>
            <m:sSup>
              <m:sSupPr>
                <m:ctrlPr>
                  <w:rPr>
                    <w:rFonts w:ascii="Cambria Math" w:hAnsi="Cambria Math"/>
                  </w:rPr>
                </m:ctrlPr>
              </m:sSupPr>
              <m:e>
                <m:r>
                  <w:rPr>
                    <w:rFonts w:ascii="Cambria Math" w:hAnsi="Cambria Math"/>
                  </w:rPr>
                  <m:t>F</m:t>
                </m:r>
              </m:e>
              <m:sup>
                <m:r>
                  <w:rPr>
                    <w:rFonts w:ascii="Cambria Math" w:hAnsi="Cambria Math"/>
                  </w:rPr>
                  <m:t>T</m:t>
                </m:r>
              </m:sup>
            </m:sSup>
          </m:e>
        </m:nary>
      </m:oMath>
      <w:r w:rsidR="00084A57">
        <w:t>, (16)</w:t>
      </w:r>
    </w:p>
    <w:p w14:paraId="0CDF343A" w14:textId="77777777" w:rsidR="00FE1A8E" w:rsidRDefault="00FE1A8E">
      <w:pPr>
        <w:jc w:val="right"/>
        <w:rPr>
          <w:lang w:bidi="en-US"/>
        </w:rPr>
      </w:pPr>
    </w:p>
    <w:p w14:paraId="69E33CB5" w14:textId="100401E6" w:rsidR="00FE1A8E" w:rsidRDefault="00084A57">
      <w:pPr>
        <w:rPr>
          <w:rFonts w:eastAsiaTheme="minorEastAsia"/>
          <w:bCs/>
          <w:lang w:bidi="en-US"/>
        </w:rPr>
      </w:pPr>
      <w:r>
        <w:rPr>
          <w:rFonts w:eastAsiaTheme="minorEastAsia"/>
        </w:rPr>
        <w:t xml:space="preserve">Dónde </w:t>
      </w:r>
      <m:oMath>
        <m:r>
          <w:rPr>
            <w:rFonts w:ascii="Cambria Math" w:hAnsi="Cambria Math"/>
          </w:rPr>
          <m:t>J≡detF</m:t>
        </m:r>
      </m:oMath>
      <w:r>
        <w:rPr>
          <w:rFonts w:eastAsiaTheme="minorEastAsia"/>
          <w:bCs/>
        </w:rPr>
        <w:t xml:space="preserve"> y </w:t>
      </w:r>
      <m:oMath>
        <m:r>
          <w:rPr>
            <w:rFonts w:ascii="Cambria Math" w:hAnsi="Cambria Math"/>
          </w:rPr>
          <m:t>F</m:t>
        </m:r>
      </m:oMath>
      <w:r>
        <w:rPr>
          <w:rFonts w:eastAsiaTheme="minorEastAsia"/>
          <w:bCs/>
        </w:rPr>
        <w:t xml:space="preserve"> es la deformación homogénea relativa al punto material </w:t>
      </w:r>
      <m:oMath>
        <m:r>
          <w:rPr>
            <w:rFonts w:ascii="Cambria Math" w:hAnsi="Cambria Math"/>
          </w:rPr>
          <m:t>X</m:t>
        </m:r>
      </m:oMath>
      <w:r>
        <w:rPr>
          <w:rFonts w:eastAsiaTheme="minorEastAsia"/>
          <w:bCs/>
          <w:lang w:bidi="en-US"/>
        </w:rPr>
        <w:t>.</w:t>
      </w:r>
    </w:p>
    <w:p w14:paraId="04C980C4" w14:textId="77777777" w:rsidR="00647973" w:rsidRDefault="00647973">
      <w:pPr>
        <w:rPr>
          <w:rFonts w:eastAsiaTheme="minorEastAsia"/>
          <w:bCs/>
          <w:lang w:bidi="en-US"/>
        </w:rPr>
      </w:pPr>
    </w:p>
    <w:p w14:paraId="3262B69A" w14:textId="77777777" w:rsidR="00647973" w:rsidRDefault="00647973" w:rsidP="00647973">
      <w:pPr>
        <w:pStyle w:val="Ttulo1"/>
        <w:numPr>
          <w:ilvl w:val="0"/>
          <w:numId w:val="2"/>
        </w:numPr>
        <w:rPr>
          <w:lang w:eastAsia="es-CO"/>
        </w:rPr>
      </w:pPr>
      <w:r>
        <w:rPr>
          <w:lang w:eastAsia="es-CO"/>
        </w:rPr>
        <w:t>Resultados y discusión</w:t>
      </w:r>
    </w:p>
    <w:p w14:paraId="0C5EF827" w14:textId="3F0287F1" w:rsidR="00647973" w:rsidRPr="00647973" w:rsidRDefault="00647973">
      <w:pPr>
        <w:rPr>
          <w:rFonts w:eastAsiaTheme="minorEastAsia"/>
          <w:b/>
          <w:lang w:bidi="en-US"/>
        </w:rPr>
      </w:pPr>
      <w:r w:rsidRPr="00647973">
        <w:rPr>
          <w:rFonts w:eastAsiaTheme="minorEastAsia"/>
          <w:b/>
          <w:lang w:bidi="en-US"/>
        </w:rPr>
        <w:t xml:space="preserve">3.1 Esfuerzos locales estimados con el método </w:t>
      </w:r>
      <w:proofErr w:type="spellStart"/>
      <w:r w:rsidRPr="00647973">
        <w:rPr>
          <w:rFonts w:eastAsiaTheme="minorEastAsia"/>
          <w:b/>
          <w:lang w:bidi="en-US"/>
        </w:rPr>
        <w:t>Atom</w:t>
      </w:r>
      <w:proofErr w:type="spellEnd"/>
      <w:r w:rsidRPr="00647973">
        <w:rPr>
          <w:rFonts w:eastAsiaTheme="minorEastAsia"/>
          <w:b/>
          <w:lang w:bidi="en-US"/>
        </w:rPr>
        <w:t>-</w:t>
      </w:r>
      <w:proofErr w:type="spellStart"/>
      <w:r w:rsidRPr="00647973">
        <w:rPr>
          <w:rFonts w:eastAsiaTheme="minorEastAsia"/>
          <w:b/>
          <w:lang w:bidi="en-US"/>
        </w:rPr>
        <w:t>to</w:t>
      </w:r>
      <w:proofErr w:type="spellEnd"/>
      <w:r w:rsidRPr="00647973">
        <w:rPr>
          <w:rFonts w:eastAsiaTheme="minorEastAsia"/>
          <w:b/>
          <w:lang w:bidi="en-US"/>
        </w:rPr>
        <w:t>-continuum (ATC)</w:t>
      </w:r>
    </w:p>
    <w:p w14:paraId="4D9CD477" w14:textId="5F2607EF" w:rsidR="00FE1A8E" w:rsidRDefault="00FE1A8E">
      <w:pPr>
        <w:rPr>
          <w:rFonts w:eastAsiaTheme="minorEastAsia"/>
          <w:bCs/>
          <w:lang w:bidi="en-US"/>
        </w:rPr>
      </w:pPr>
    </w:p>
    <w:p w14:paraId="4ED4F2A9" w14:textId="243C6198" w:rsidR="00647973" w:rsidRDefault="00B751F1">
      <w:pPr>
        <w:rPr>
          <w:rFonts w:eastAsiaTheme="minorEastAsia"/>
          <w:bCs/>
          <w:lang w:bidi="en-US"/>
        </w:rPr>
      </w:pPr>
      <w:r>
        <w:t xml:space="preserve">En la Figura 2 se observan los esfuerzos locales para 3 diferentes tamaños de grano de monocristales de Aluminio con fisura de borde y sometidos a tensión uniaxial en la dirección </w:t>
      </w:r>
      <m:oMath>
        <m:acc>
          <m:accPr>
            <m:chr m:val="⃗"/>
            <m:ctrlPr>
              <w:rPr>
                <w:rFonts w:ascii="Cambria Math" w:hAnsi="Cambria Math"/>
              </w:rPr>
            </m:ctrlPr>
          </m:accPr>
          <m:e>
            <m:r>
              <w:rPr>
                <w:rFonts w:ascii="Cambria Math" w:hAnsi="Cambria Math"/>
              </w:rPr>
              <m:t>z</m:t>
            </m:r>
          </m:e>
        </m:acc>
      </m:oMath>
      <w:r>
        <w:t xml:space="preserve">. En el lado izquierdo se observa un mallado grueso para el cristal y en la derecha un refinamiento de la malla de elementos finitos. Para un mayor número de elementos se obtiene una mejor distinción y cálculo de esfuerzos alrededor </w:t>
      </w:r>
      <w:r>
        <w:lastRenderedPageBreak/>
        <w:t xml:space="preserve">de la punta de la fisura. Sin embargo, se observan altos esfuerzos, inmediatamente, en los nodos cercanos a las superficies libres de tracción de la fisura; lo que es contrastante con hallazgos previos </w:t>
      </w:r>
      <w:r>
        <w:fldChar w:fldCharType="begin" w:fldLock="1"/>
      </w:r>
      <w:r w:rsidR="00E71688">
        <w:instrText>ADDIN CSL_CITATION {"citationItems":[{"id":"ITEM-1","itemData":{"DOI":"10.1016/j.commatsci.2019.05.031","ISSN":"09270256","abstract":"Complex interactions of defects such as dislocations and grain boundaries determine the deformation mechanism of nanocrystalline materials. Using molecular dynamics simulations, in this paper, we study crack propagation under mode I. Single crystals and bicrystals aluminum (Al) with different initial edge crack lengths were loaded until failure under controlled deformation. The effect of the grain boundary on the fracture toughness was analyzed. Tearing was observed and investigated in Al bicrystals. A novel methodology is proposed to estimate the fracture toughness in terms of J for Al single crystals and bicrystals. J was computed by means of three different methods, viz., J Contour Integral, Energy Release Rate, and Crack Tip Opening Displacement. Fracture toughness (JC) for bicrystal was 445% higher than for single crystal. JC for the single crystal was approximately 3 J/m2 and 13 J/m2 for the bicrystal. Comparison between first tearing in Al bicrystals and failure in single crystals was performed. Finally, it was evidenced that for Al bicrystals ductile fracture occurred during final fracture and the grain boundary had a large effect on the mechanical behavior of Al bicrystals.","author":[{"dropping-particle":"","family":"Velilla-Díaz","given":"Wilmer","non-dropping-particle":"","parse-names":false,"suffix":""},{"dropping-particle":"","family":"Pacheco-Sanjuan","given":"Alejandro","non-dropping-particle":"","parse-names":false,"suffix":""},{"dropping-particle":"","family":"Zambrano","given":"Habib R.","non-dropping-particle":"","parse-names":false,"suffix":""}],"container-title":"Computational Materials Science","id":"ITEM-1","issue":"March","issued":{"date-parts":[["2019"]]},"page":"34-41","publisher":"Elsevier","title":"The role of the grain boundary in the fracture toughness of aluminum bicrystal","type":"article-journal","volume":"167"},"uris":["http://www.mendeley.com/documents/?uuid=ec1f6fa8-a3de-4ff4-82d5-e101c0c20a3e"]}],"mendeley":{"formattedCitation":"[10]","plainTextFormattedCitation":"[10]","previouslyFormattedCitation":"[9]"},"properties":{"noteIndex":0},"schema":"https://github.com/citation-style-language/schema/raw/master/csl-citation.json"}</w:instrText>
      </w:r>
      <w:r>
        <w:fldChar w:fldCharType="separate"/>
      </w:r>
      <w:r w:rsidR="00E71688" w:rsidRPr="00E71688">
        <w:rPr>
          <w:noProof/>
        </w:rPr>
        <w:t>[10]</w:t>
      </w:r>
      <w:r>
        <w:fldChar w:fldCharType="end"/>
      </w:r>
      <w:r>
        <w:t xml:space="preserve"> y de otros </w:t>
      </w:r>
      <w:r>
        <w:t>investigadores en la literatura para potenciales interatómicos EAM y para materiales con estructura cristalina FCC.</w:t>
      </w:r>
    </w:p>
    <w:p w14:paraId="69CC9494" w14:textId="77777777" w:rsidR="00FE1A8E" w:rsidRDefault="00FE1A8E">
      <w:pPr>
        <w:sectPr w:rsidR="00FE1A8E">
          <w:type w:val="continuous"/>
          <w:pgSz w:w="11906" w:h="16838"/>
          <w:pgMar w:top="1934" w:right="1418" w:bottom="1418" w:left="1418" w:header="1064" w:footer="0" w:gutter="0"/>
          <w:cols w:num="2" w:space="334"/>
          <w:formProt w:val="0"/>
          <w:docGrid w:linePitch="600" w:charSpace="40960"/>
        </w:sectPr>
      </w:pPr>
    </w:p>
    <w:p w14:paraId="36D5AFE7" w14:textId="26A5D3F9" w:rsidR="00302C08" w:rsidRPr="0021596F" w:rsidRDefault="007D5824" w:rsidP="00B751F1">
      <w:pPr>
        <w:pStyle w:val="Ttulo2"/>
        <w:numPr>
          <w:ilvl w:val="0"/>
          <w:numId w:val="0"/>
        </w:numPr>
      </w:pPr>
      <w:r>
        <w:rPr>
          <w:noProof/>
        </w:rPr>
        <mc:AlternateContent>
          <mc:Choice Requires="wps">
            <w:drawing>
              <wp:anchor distT="45720" distB="45720" distL="114300" distR="114300" simplePos="0" relativeHeight="251659264" behindDoc="1" locked="0" layoutInCell="1" allowOverlap="1" wp14:anchorId="07754EDC" wp14:editId="61B7BC6C">
                <wp:simplePos x="0" y="0"/>
                <wp:positionH relativeFrom="margin">
                  <wp:align>left</wp:align>
                </wp:positionH>
                <wp:positionV relativeFrom="paragraph">
                  <wp:posOffset>283210</wp:posOffset>
                </wp:positionV>
                <wp:extent cx="5871845" cy="6644640"/>
                <wp:effectExtent l="0" t="0" r="0" b="3810"/>
                <wp:wrapTight wrapText="bothSides">
                  <wp:wrapPolygon edited="0">
                    <wp:start x="0" y="0"/>
                    <wp:lineTo x="0" y="21550"/>
                    <wp:lineTo x="21514" y="21550"/>
                    <wp:lineTo x="21514" y="0"/>
                    <wp:lineTo x="0" y="0"/>
                  </wp:wrapPolygon>
                </wp:wrapTight>
                <wp:docPr id="11" name="Text Box 2"/>
                <wp:cNvGraphicFramePr/>
                <a:graphic xmlns:a="http://schemas.openxmlformats.org/drawingml/2006/main">
                  <a:graphicData uri="http://schemas.microsoft.com/office/word/2010/wordprocessingShape">
                    <wps:wsp>
                      <wps:cNvSpPr/>
                      <wps:spPr>
                        <a:xfrm>
                          <a:off x="0" y="0"/>
                          <a:ext cx="5871845" cy="66446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396"/>
                            </w:tblGrid>
                            <w:tr w:rsidR="007D5824" w14:paraId="6B783783" w14:textId="77777777" w:rsidTr="005833E1">
                              <w:tc>
                                <w:tcPr>
                                  <w:tcW w:w="4530" w:type="dxa"/>
                                </w:tcPr>
                                <w:p w14:paraId="62753617" w14:textId="0445BB60" w:rsidR="007D5824" w:rsidRDefault="00203AAC" w:rsidP="00B60812">
                                  <w:pPr>
                                    <w:pStyle w:val="Contenidodelmarco"/>
                                    <w:jc w:val="center"/>
                                    <w:rPr>
                                      <w:lang w:eastAsia="es-CO"/>
                                    </w:rPr>
                                  </w:pPr>
                                  <w:r>
                                    <w:rPr>
                                      <w:noProof/>
                                    </w:rPr>
                                    <w:drawing>
                                      <wp:inline distT="0" distB="0" distL="0" distR="0" wp14:anchorId="52B3EFE1" wp14:editId="58CE4AB8">
                                        <wp:extent cx="2520000" cy="184945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a:extLst>
                                                    <a:ext uri="{28A0092B-C50C-407E-A947-70E740481C1C}">
                                                      <a14:useLocalDpi xmlns:a14="http://schemas.microsoft.com/office/drawing/2010/main" val="0"/>
                                                    </a:ext>
                                                  </a:extLst>
                                                </a:blip>
                                                <a:srcRect l="5228" r="18122"/>
                                                <a:stretch/>
                                              </pic:blipFill>
                                              <pic:spPr bwMode="auto">
                                                <a:xfrm>
                                                  <a:off x="0" y="0"/>
                                                  <a:ext cx="2520000" cy="1849456"/>
                                                </a:xfrm>
                                                <a:prstGeom prst="rect">
                                                  <a:avLst/>
                                                </a:prstGeom>
                                                <a:noFill/>
                                                <a:ln>
                                                  <a:noFill/>
                                                </a:ln>
                                                <a:extLst>
                                                  <a:ext uri="{53640926-AAD7-44D8-BBD7-CCE9431645EC}">
                                                    <a14:shadowObscured xmlns:a14="http://schemas.microsoft.com/office/drawing/2010/main"/>
                                                  </a:ext>
                                                </a:extLst>
                                              </pic:spPr>
                                            </pic:pic>
                                          </a:graphicData>
                                        </a:graphic>
                                      </wp:inline>
                                    </w:drawing>
                                  </w:r>
                                </w:p>
                                <w:p w14:paraId="45A8F595" w14:textId="44AE1E80" w:rsidR="007D5824" w:rsidRDefault="00F54AB3" w:rsidP="00F54AB3">
                                  <w:pPr>
                                    <w:pStyle w:val="Contenidodelmarco"/>
                                    <w:ind w:left="720"/>
                                    <w:rPr>
                                      <w:lang w:eastAsia="es-CO"/>
                                    </w:rPr>
                                  </w:pPr>
                                  <w:r>
                                    <w:rPr>
                                      <w:sz w:val="18"/>
                                      <w:szCs w:val="18"/>
                                      <w:lang w:eastAsia="es-CO"/>
                                    </w:rPr>
                                    <w:t>(a)</w:t>
                                  </w:r>
                                  <w:r w:rsidR="007D5824">
                                    <w:rPr>
                                      <w:sz w:val="18"/>
                                      <w:szCs w:val="18"/>
                                      <w:lang w:eastAsia="es-CO"/>
                                    </w:rPr>
                                    <w:t xml:space="preserve">Tamaño de grano 8.1 nm con 400 elementos </w:t>
                                  </w:r>
                                </w:p>
                              </w:tc>
                              <w:tc>
                                <w:tcPr>
                                  <w:tcW w:w="4395" w:type="dxa"/>
                                </w:tcPr>
                                <w:p w14:paraId="619594BE" w14:textId="5BAC61B1" w:rsidR="00203AAC" w:rsidRDefault="00917ADC" w:rsidP="00B60812">
                                  <w:pPr>
                                    <w:pStyle w:val="Contenidodelmarco"/>
                                    <w:jc w:val="center"/>
                                    <w:rPr>
                                      <w:noProof/>
                                    </w:rPr>
                                  </w:pPr>
                                  <w:r>
                                    <w:rPr>
                                      <w:noProof/>
                                    </w:rPr>
                                    <w:drawing>
                                      <wp:inline distT="0" distB="0" distL="0" distR="0" wp14:anchorId="10354974" wp14:editId="50EF2181">
                                        <wp:extent cx="2519680" cy="18491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6">
                                                  <a:extLst>
                                                    <a:ext uri="{28A0092B-C50C-407E-A947-70E740481C1C}">
                                                      <a14:useLocalDpi xmlns:a14="http://schemas.microsoft.com/office/drawing/2010/main" val="0"/>
                                                    </a:ext>
                                                  </a:extLst>
                                                </a:blip>
                                                <a:srcRect l="5808" r="18703"/>
                                                <a:stretch/>
                                              </pic:blipFill>
                                              <pic:spPr bwMode="auto">
                                                <a:xfrm>
                                                  <a:off x="0" y="0"/>
                                                  <a:ext cx="2520000" cy="1849355"/>
                                                </a:xfrm>
                                                <a:prstGeom prst="rect">
                                                  <a:avLst/>
                                                </a:prstGeom>
                                                <a:noFill/>
                                                <a:ln>
                                                  <a:noFill/>
                                                </a:ln>
                                                <a:extLst>
                                                  <a:ext uri="{53640926-AAD7-44D8-BBD7-CCE9431645EC}">
                                                    <a14:shadowObscured xmlns:a14="http://schemas.microsoft.com/office/drawing/2010/main"/>
                                                  </a:ext>
                                                </a:extLst>
                                              </pic:spPr>
                                            </pic:pic>
                                          </a:graphicData>
                                        </a:graphic>
                                      </wp:inline>
                                    </w:drawing>
                                  </w:r>
                                </w:p>
                                <w:p w14:paraId="7DE23E2D" w14:textId="5F412782" w:rsidR="007D5824" w:rsidRDefault="00F54AB3" w:rsidP="00B60812">
                                  <w:pPr>
                                    <w:pStyle w:val="Contenidodelmarco"/>
                                    <w:jc w:val="center"/>
                                    <w:rPr>
                                      <w:lang w:eastAsia="es-CO"/>
                                    </w:rPr>
                                  </w:pPr>
                                  <w:r>
                                    <w:rPr>
                                      <w:sz w:val="18"/>
                                      <w:szCs w:val="18"/>
                                      <w:lang w:eastAsia="es-CO"/>
                                    </w:rPr>
                                    <w:t>(b)</w:t>
                                  </w:r>
                                  <w:r w:rsidR="007D5824">
                                    <w:rPr>
                                      <w:sz w:val="18"/>
                                      <w:szCs w:val="18"/>
                                      <w:lang w:eastAsia="es-CO"/>
                                    </w:rPr>
                                    <w:t>Tamaño de grano 8.1</w:t>
                                  </w:r>
                                  <w:r>
                                    <w:rPr>
                                      <w:sz w:val="18"/>
                                      <w:szCs w:val="18"/>
                                      <w:lang w:eastAsia="es-CO"/>
                                    </w:rPr>
                                    <w:t xml:space="preserve"> </w:t>
                                  </w:r>
                                  <w:r w:rsidR="007D5824">
                                    <w:rPr>
                                      <w:sz w:val="18"/>
                                      <w:szCs w:val="18"/>
                                      <w:lang w:eastAsia="es-CO"/>
                                    </w:rPr>
                                    <w:t>nm con 13950 elementos</w:t>
                                  </w:r>
                                </w:p>
                              </w:tc>
                            </w:tr>
                            <w:tr w:rsidR="007D5824" w14:paraId="5595EF27" w14:textId="77777777" w:rsidTr="005833E1">
                              <w:tc>
                                <w:tcPr>
                                  <w:tcW w:w="4530" w:type="dxa"/>
                                </w:tcPr>
                                <w:p w14:paraId="7DF67D78" w14:textId="50824B0D" w:rsidR="007D5824" w:rsidRDefault="003F4BD6" w:rsidP="00B60812">
                                  <w:pPr>
                                    <w:pStyle w:val="Contenidodelmarco"/>
                                    <w:jc w:val="center"/>
                                  </w:pPr>
                                  <w:r>
                                    <w:rPr>
                                      <w:noProof/>
                                    </w:rPr>
                                    <w:drawing>
                                      <wp:inline distT="0" distB="0" distL="0" distR="0" wp14:anchorId="47660849" wp14:editId="2360CC5F">
                                        <wp:extent cx="2703181" cy="2008800"/>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a:extLst>
                                                    <a:ext uri="{28A0092B-C50C-407E-A947-70E740481C1C}">
                                                      <a14:useLocalDpi xmlns:a14="http://schemas.microsoft.com/office/drawing/2010/main" val="0"/>
                                                    </a:ext>
                                                  </a:extLst>
                                                </a:blip>
                                                <a:srcRect l="5808" t="6800" r="23638"/>
                                                <a:stretch/>
                                              </pic:blipFill>
                                              <pic:spPr bwMode="auto">
                                                <a:xfrm>
                                                  <a:off x="0" y="0"/>
                                                  <a:ext cx="2703181" cy="2008800"/>
                                                </a:xfrm>
                                                <a:prstGeom prst="rect">
                                                  <a:avLst/>
                                                </a:prstGeom>
                                                <a:noFill/>
                                                <a:ln>
                                                  <a:noFill/>
                                                </a:ln>
                                                <a:extLst>
                                                  <a:ext uri="{53640926-AAD7-44D8-BBD7-CCE9431645EC}">
                                                    <a14:shadowObscured xmlns:a14="http://schemas.microsoft.com/office/drawing/2010/main"/>
                                                  </a:ext>
                                                </a:extLst>
                                              </pic:spPr>
                                            </pic:pic>
                                          </a:graphicData>
                                        </a:graphic>
                                      </wp:inline>
                                    </w:drawing>
                                  </w:r>
                                </w:p>
                                <w:p w14:paraId="74385F8C" w14:textId="25449E84" w:rsidR="007D5824" w:rsidRDefault="00F54AB3" w:rsidP="00B60812">
                                  <w:pPr>
                                    <w:pStyle w:val="Contenidodelmarco"/>
                                    <w:jc w:val="center"/>
                                  </w:pPr>
                                  <w:r>
                                    <w:rPr>
                                      <w:sz w:val="18"/>
                                      <w:szCs w:val="18"/>
                                    </w:rPr>
                                    <w:t>(c)</w:t>
                                  </w:r>
                                  <w:r w:rsidR="007D5824">
                                    <w:rPr>
                                      <w:sz w:val="18"/>
                                      <w:szCs w:val="18"/>
                                    </w:rPr>
                                    <w:t>Tamaño de grano 16.2 nm con 1120 elementos</w:t>
                                  </w:r>
                                </w:p>
                              </w:tc>
                              <w:tc>
                                <w:tcPr>
                                  <w:tcW w:w="4395" w:type="dxa"/>
                                </w:tcPr>
                                <w:p w14:paraId="31B680E9" w14:textId="4309AFF8" w:rsidR="007D5824" w:rsidRDefault="00875A41" w:rsidP="00B60812">
                                  <w:pPr>
                                    <w:pStyle w:val="Contenidodelmarco"/>
                                    <w:jc w:val="center"/>
                                  </w:pPr>
                                  <w:r>
                                    <w:rPr>
                                      <w:noProof/>
                                    </w:rPr>
                                    <w:drawing>
                                      <wp:inline distT="0" distB="0" distL="0" distR="0" wp14:anchorId="4744B9F7" wp14:editId="715D717E">
                                        <wp:extent cx="2654566" cy="2008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a:extLst>
                                                    <a:ext uri="{28A0092B-C50C-407E-A947-70E740481C1C}">
                                                      <a14:useLocalDpi xmlns:a14="http://schemas.microsoft.com/office/drawing/2010/main" val="0"/>
                                                    </a:ext>
                                                  </a:extLst>
                                                </a:blip>
                                                <a:srcRect l="6097" r="20155"/>
                                                <a:stretch/>
                                              </pic:blipFill>
                                              <pic:spPr bwMode="auto">
                                                <a:xfrm>
                                                  <a:off x="0" y="0"/>
                                                  <a:ext cx="2654566" cy="2008800"/>
                                                </a:xfrm>
                                                <a:prstGeom prst="rect">
                                                  <a:avLst/>
                                                </a:prstGeom>
                                                <a:noFill/>
                                                <a:ln>
                                                  <a:noFill/>
                                                </a:ln>
                                                <a:extLst>
                                                  <a:ext uri="{53640926-AAD7-44D8-BBD7-CCE9431645EC}">
                                                    <a14:shadowObscured xmlns:a14="http://schemas.microsoft.com/office/drawing/2010/main"/>
                                                  </a:ext>
                                                </a:extLst>
                                              </pic:spPr>
                                            </pic:pic>
                                          </a:graphicData>
                                        </a:graphic>
                                      </wp:inline>
                                    </w:drawing>
                                  </w:r>
                                </w:p>
                                <w:p w14:paraId="417C38A5" w14:textId="2BC6F65A" w:rsidR="007D5824" w:rsidRDefault="00F54AB3" w:rsidP="00B60812">
                                  <w:pPr>
                                    <w:pStyle w:val="Contenidodelmarco"/>
                                    <w:jc w:val="center"/>
                                  </w:pPr>
                                  <w:r>
                                    <w:rPr>
                                      <w:sz w:val="18"/>
                                      <w:szCs w:val="18"/>
                                    </w:rPr>
                                    <w:t>(d)</w:t>
                                  </w:r>
                                  <w:r w:rsidR="007D5824">
                                    <w:rPr>
                                      <w:sz w:val="18"/>
                                      <w:szCs w:val="18"/>
                                    </w:rPr>
                                    <w:t>Tamaño de grano de 16.2 nm con 24000 elementos</w:t>
                                  </w:r>
                                </w:p>
                              </w:tc>
                            </w:tr>
                            <w:tr w:rsidR="007D5824" w14:paraId="18E2E067" w14:textId="77777777" w:rsidTr="005833E1">
                              <w:tc>
                                <w:tcPr>
                                  <w:tcW w:w="4530" w:type="dxa"/>
                                </w:tcPr>
                                <w:p w14:paraId="74048381" w14:textId="47617D97" w:rsidR="007D5824" w:rsidRDefault="00585176" w:rsidP="00B60812">
                                  <w:pPr>
                                    <w:pStyle w:val="Contenidodelmarco"/>
                                    <w:jc w:val="center"/>
                                  </w:pPr>
                                  <w:r>
                                    <w:rPr>
                                      <w:noProof/>
                                    </w:rPr>
                                    <w:drawing>
                                      <wp:inline distT="0" distB="0" distL="0" distR="0" wp14:anchorId="17071766" wp14:editId="0E6301E1">
                                        <wp:extent cx="2520000" cy="163844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l="4937" r="8540"/>
                                                <a:stretch/>
                                              </pic:blipFill>
                                              <pic:spPr bwMode="auto">
                                                <a:xfrm>
                                                  <a:off x="0" y="0"/>
                                                  <a:ext cx="2520000" cy="1638443"/>
                                                </a:xfrm>
                                                <a:prstGeom prst="rect">
                                                  <a:avLst/>
                                                </a:prstGeom>
                                                <a:noFill/>
                                                <a:ln>
                                                  <a:noFill/>
                                                </a:ln>
                                                <a:extLst>
                                                  <a:ext uri="{53640926-AAD7-44D8-BBD7-CCE9431645EC}">
                                                    <a14:shadowObscured xmlns:a14="http://schemas.microsoft.com/office/drawing/2010/main"/>
                                                  </a:ext>
                                                </a:extLst>
                                              </pic:spPr>
                                            </pic:pic>
                                          </a:graphicData>
                                        </a:graphic>
                                      </wp:inline>
                                    </w:drawing>
                                  </w:r>
                                </w:p>
                                <w:p w14:paraId="6C35F1FC" w14:textId="4A19A98A" w:rsidR="007D5824" w:rsidRDefault="00F54AB3" w:rsidP="00B60812">
                                  <w:pPr>
                                    <w:pStyle w:val="Contenidodelmarco"/>
                                    <w:jc w:val="center"/>
                                  </w:pPr>
                                  <w:r>
                                    <w:rPr>
                                      <w:sz w:val="18"/>
                                      <w:szCs w:val="18"/>
                                    </w:rPr>
                                    <w:t>(e)</w:t>
                                  </w:r>
                                  <w:r w:rsidR="007D5824">
                                    <w:rPr>
                                      <w:sz w:val="18"/>
                                      <w:szCs w:val="18"/>
                                    </w:rPr>
                                    <w:t>Tamaño de grano 24.3 nm con 2</w:t>
                                  </w:r>
                                  <w:r w:rsidR="00975D8E">
                                    <w:rPr>
                                      <w:sz w:val="18"/>
                                      <w:szCs w:val="18"/>
                                    </w:rPr>
                                    <w:t>240</w:t>
                                  </w:r>
                                  <w:r w:rsidR="007D5824">
                                    <w:rPr>
                                      <w:sz w:val="18"/>
                                      <w:szCs w:val="18"/>
                                    </w:rPr>
                                    <w:t xml:space="preserve"> elementos</w:t>
                                  </w:r>
                                </w:p>
                              </w:tc>
                              <w:tc>
                                <w:tcPr>
                                  <w:tcW w:w="4395" w:type="dxa"/>
                                </w:tcPr>
                                <w:p w14:paraId="3782F77C" w14:textId="0A54B9E6" w:rsidR="007D5824" w:rsidRDefault="00AD1A2A" w:rsidP="00B60812">
                                  <w:pPr>
                                    <w:pStyle w:val="Contenidodelmarco"/>
                                    <w:jc w:val="center"/>
                                  </w:pPr>
                                  <w:r>
                                    <w:rPr>
                                      <w:noProof/>
                                    </w:rPr>
                                    <w:drawing>
                                      <wp:inline distT="0" distB="0" distL="0" distR="0" wp14:anchorId="7E208BA0" wp14:editId="116464B2">
                                        <wp:extent cx="2520000" cy="163843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val="0"/>
                                                    </a:ext>
                                                  </a:extLst>
                                                </a:blip>
                                                <a:srcRect l="5227" r="8250"/>
                                                <a:stretch/>
                                              </pic:blipFill>
                                              <pic:spPr bwMode="auto">
                                                <a:xfrm>
                                                  <a:off x="0" y="0"/>
                                                  <a:ext cx="2520000" cy="1638433"/>
                                                </a:xfrm>
                                                <a:prstGeom prst="rect">
                                                  <a:avLst/>
                                                </a:prstGeom>
                                                <a:noFill/>
                                                <a:ln>
                                                  <a:noFill/>
                                                </a:ln>
                                                <a:extLst>
                                                  <a:ext uri="{53640926-AAD7-44D8-BBD7-CCE9431645EC}">
                                                    <a14:shadowObscured xmlns:a14="http://schemas.microsoft.com/office/drawing/2010/main"/>
                                                  </a:ext>
                                                </a:extLst>
                                              </pic:spPr>
                                            </pic:pic>
                                          </a:graphicData>
                                        </a:graphic>
                                      </wp:inline>
                                    </w:drawing>
                                  </w:r>
                                </w:p>
                                <w:p w14:paraId="6C912FC7" w14:textId="052F6D7A" w:rsidR="004D22CF" w:rsidRDefault="00F54AB3" w:rsidP="00B60812">
                                  <w:pPr>
                                    <w:pStyle w:val="Contenidodelmarco"/>
                                    <w:jc w:val="center"/>
                                  </w:pPr>
                                  <w:r>
                                    <w:rPr>
                                      <w:sz w:val="18"/>
                                      <w:szCs w:val="18"/>
                                    </w:rPr>
                                    <w:t>(f)</w:t>
                                  </w:r>
                                  <w:r w:rsidR="004D22CF">
                                    <w:rPr>
                                      <w:sz w:val="18"/>
                                      <w:szCs w:val="18"/>
                                    </w:rPr>
                                    <w:t xml:space="preserve">Tamaño de grano 24.3 nm con </w:t>
                                  </w:r>
                                  <w:r w:rsidR="00585176">
                                    <w:rPr>
                                      <w:sz w:val="18"/>
                                      <w:szCs w:val="18"/>
                                    </w:rPr>
                                    <w:t>81000</w:t>
                                  </w:r>
                                  <w:r w:rsidR="004D22CF">
                                    <w:rPr>
                                      <w:sz w:val="18"/>
                                      <w:szCs w:val="18"/>
                                    </w:rPr>
                                    <w:t xml:space="preserve"> elementos</w:t>
                                  </w:r>
                                </w:p>
                              </w:tc>
                            </w:tr>
                          </w:tbl>
                          <w:p w14:paraId="52C793AD" w14:textId="4A9C4D5B" w:rsidR="007D5824" w:rsidRDefault="007D5824" w:rsidP="007D5824">
                            <w:pPr>
                              <w:pStyle w:val="Descripcin"/>
                              <w:jc w:val="left"/>
                              <w:rPr>
                                <w:color w:val="000000"/>
                                <w:sz w:val="18"/>
                                <w:szCs w:val="16"/>
                              </w:rPr>
                            </w:pPr>
                            <w:r>
                              <w:rPr>
                                <w:b/>
                                <w:bCs/>
                                <w:color w:val="000000"/>
                                <w:sz w:val="18"/>
                                <w:szCs w:val="16"/>
                              </w:rPr>
                              <w:t>Figura 2</w:t>
                            </w:r>
                            <w:r>
                              <w:rPr>
                                <w:color w:val="000000"/>
                                <w:sz w:val="18"/>
                                <w:szCs w:val="16"/>
                              </w:rPr>
                              <w:t>. Campo de esfuerzos locales en monocristales de Aluminio con fisura de borde</w:t>
                            </w:r>
                            <w:r w:rsidR="00B751F1">
                              <w:rPr>
                                <w:color w:val="000000"/>
                                <w:sz w:val="18"/>
                                <w:szCs w:val="16"/>
                              </w:rPr>
                              <w:t xml:space="preserve"> para diferentes tamaños de grano</w:t>
                            </w:r>
                            <w:r>
                              <w:rPr>
                                <w:color w:val="000000"/>
                                <w:sz w:val="18"/>
                                <w:szCs w:val="16"/>
                              </w:rPr>
                              <w:t xml:space="preserve">. </w:t>
                            </w:r>
                          </w:p>
                          <w:p w14:paraId="69508BB3" w14:textId="07879254" w:rsidR="00C81F8E" w:rsidRPr="00C81F8E" w:rsidRDefault="00C81F8E" w:rsidP="00C81F8E">
                            <w:pPr>
                              <w:rPr>
                                <w:lang w:eastAsia="es-CO"/>
                              </w:rPr>
                            </w:pPr>
                          </w:p>
                        </w:txbxContent>
                      </wps:txbx>
                      <wps:bodyPr wrap="square">
                        <a:noAutofit/>
                      </wps:bodyPr>
                    </wps:wsp>
                  </a:graphicData>
                </a:graphic>
                <wp14:sizeRelV relativeFrom="margin">
                  <wp14:pctHeight>0</wp14:pctHeight>
                </wp14:sizeRelV>
              </wp:anchor>
            </w:drawing>
          </mc:Choice>
          <mc:Fallback>
            <w:pict>
              <v:rect w14:anchorId="07754EDC" id="_x0000_s1027" style="position:absolute;left:0;text-align:left;margin-left:0;margin-top:22.3pt;width:462.35pt;height:523.2pt;z-index:-251657216;visibility:visible;mso-wrap-style:square;mso-height-percent:0;mso-wrap-distance-left:9pt;mso-wrap-distance-top:3.6pt;mso-wrap-distance-right:9pt;mso-wrap-distance-bottom:3.6pt;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" stroked="f" strokeweight=".26mm">
                <v:textbox>
                  <w:txbxContent>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396"/>
                      </w:tblGrid>
                      <w:tr w:rsidR="007D5824" w14:paraId="6B783783" w14:textId="77777777" w:rsidTr="005833E1">
                        <w:tc>
                          <w:tcPr>
                            <w:tcW w:w="4530" w:type="dxa"/>
                          </w:tcPr>
                          <w:p w14:paraId="62753617" w14:textId="0445BB60" w:rsidR="007D5824" w:rsidRDefault="00203AAC" w:rsidP="00B60812">
                            <w:pPr>
                              <w:pStyle w:val="Contenidodelmarco"/>
                              <w:jc w:val="center"/>
                              <w:rPr>
                                <w:lang w:eastAsia="es-CO"/>
                              </w:rPr>
                            </w:pPr>
                            <w:r>
                              <w:rPr>
                                <w:noProof/>
                              </w:rPr>
                              <w:drawing>
                                <wp:inline distT="0" distB="0" distL="0" distR="0" wp14:anchorId="52B3EFE1" wp14:editId="58CE4AB8">
                                  <wp:extent cx="2520000" cy="184945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5">
                                            <a:extLst>
                                              <a:ext uri="{28A0092B-C50C-407E-A947-70E740481C1C}">
                                                <a14:useLocalDpi xmlns:a14="http://schemas.microsoft.com/office/drawing/2010/main" val="0"/>
                                              </a:ext>
                                            </a:extLst>
                                          </a:blip>
                                          <a:srcRect l="5228" r="18122"/>
                                          <a:stretch/>
                                        </pic:blipFill>
                                        <pic:spPr bwMode="auto">
                                          <a:xfrm>
                                            <a:off x="0" y="0"/>
                                            <a:ext cx="2520000" cy="1849456"/>
                                          </a:xfrm>
                                          <a:prstGeom prst="rect">
                                            <a:avLst/>
                                          </a:prstGeom>
                                          <a:noFill/>
                                          <a:ln>
                                            <a:noFill/>
                                          </a:ln>
                                          <a:extLst>
                                            <a:ext uri="{53640926-AAD7-44D8-BBD7-CCE9431645EC}">
                                              <a14:shadowObscured xmlns:a14="http://schemas.microsoft.com/office/drawing/2010/main"/>
                                            </a:ext>
                                          </a:extLst>
                                        </pic:spPr>
                                      </pic:pic>
                                    </a:graphicData>
                                  </a:graphic>
                                </wp:inline>
                              </w:drawing>
                            </w:r>
                          </w:p>
                          <w:p w14:paraId="45A8F595" w14:textId="44AE1E80" w:rsidR="007D5824" w:rsidRDefault="00F54AB3" w:rsidP="00F54AB3">
                            <w:pPr>
                              <w:pStyle w:val="Contenidodelmarco"/>
                              <w:ind w:left="720"/>
                              <w:rPr>
                                <w:lang w:eastAsia="es-CO"/>
                              </w:rPr>
                            </w:pPr>
                            <w:r>
                              <w:rPr>
                                <w:sz w:val="18"/>
                                <w:szCs w:val="18"/>
                                <w:lang w:eastAsia="es-CO"/>
                              </w:rPr>
                              <w:t>(a)</w:t>
                            </w:r>
                            <w:r w:rsidR="007D5824">
                              <w:rPr>
                                <w:sz w:val="18"/>
                                <w:szCs w:val="18"/>
                                <w:lang w:eastAsia="es-CO"/>
                              </w:rPr>
                              <w:t xml:space="preserve">Tamaño de grano 8.1 nm con 400 elementos </w:t>
                            </w:r>
                          </w:p>
                        </w:tc>
                        <w:tc>
                          <w:tcPr>
                            <w:tcW w:w="4395" w:type="dxa"/>
                          </w:tcPr>
                          <w:p w14:paraId="619594BE" w14:textId="5BAC61B1" w:rsidR="00203AAC" w:rsidRDefault="00917ADC" w:rsidP="00B60812">
                            <w:pPr>
                              <w:pStyle w:val="Contenidodelmarco"/>
                              <w:jc w:val="center"/>
                              <w:rPr>
                                <w:noProof/>
                              </w:rPr>
                            </w:pPr>
                            <w:r>
                              <w:rPr>
                                <w:noProof/>
                              </w:rPr>
                              <w:drawing>
                                <wp:inline distT="0" distB="0" distL="0" distR="0" wp14:anchorId="10354974" wp14:editId="50EF2181">
                                  <wp:extent cx="2519680" cy="18491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6">
                                            <a:extLst>
                                              <a:ext uri="{28A0092B-C50C-407E-A947-70E740481C1C}">
                                                <a14:useLocalDpi xmlns:a14="http://schemas.microsoft.com/office/drawing/2010/main" val="0"/>
                                              </a:ext>
                                            </a:extLst>
                                          </a:blip>
                                          <a:srcRect l="5808" r="18703"/>
                                          <a:stretch/>
                                        </pic:blipFill>
                                        <pic:spPr bwMode="auto">
                                          <a:xfrm>
                                            <a:off x="0" y="0"/>
                                            <a:ext cx="2520000" cy="1849355"/>
                                          </a:xfrm>
                                          <a:prstGeom prst="rect">
                                            <a:avLst/>
                                          </a:prstGeom>
                                          <a:noFill/>
                                          <a:ln>
                                            <a:noFill/>
                                          </a:ln>
                                          <a:extLst>
                                            <a:ext uri="{53640926-AAD7-44D8-BBD7-CCE9431645EC}">
                                              <a14:shadowObscured xmlns:a14="http://schemas.microsoft.com/office/drawing/2010/main"/>
                                            </a:ext>
                                          </a:extLst>
                                        </pic:spPr>
                                      </pic:pic>
                                    </a:graphicData>
                                  </a:graphic>
                                </wp:inline>
                              </w:drawing>
                            </w:r>
                          </w:p>
                          <w:p w14:paraId="7DE23E2D" w14:textId="5F412782" w:rsidR="007D5824" w:rsidRDefault="00F54AB3" w:rsidP="00B60812">
                            <w:pPr>
                              <w:pStyle w:val="Contenidodelmarco"/>
                              <w:jc w:val="center"/>
                              <w:rPr>
                                <w:lang w:eastAsia="es-CO"/>
                              </w:rPr>
                            </w:pPr>
                            <w:r>
                              <w:rPr>
                                <w:sz w:val="18"/>
                                <w:szCs w:val="18"/>
                                <w:lang w:eastAsia="es-CO"/>
                              </w:rPr>
                              <w:t>(b)</w:t>
                            </w:r>
                            <w:r w:rsidR="007D5824">
                              <w:rPr>
                                <w:sz w:val="18"/>
                                <w:szCs w:val="18"/>
                                <w:lang w:eastAsia="es-CO"/>
                              </w:rPr>
                              <w:t>Tamaño de grano 8.1</w:t>
                            </w:r>
                            <w:r>
                              <w:rPr>
                                <w:sz w:val="18"/>
                                <w:szCs w:val="18"/>
                                <w:lang w:eastAsia="es-CO"/>
                              </w:rPr>
                              <w:t xml:space="preserve"> </w:t>
                            </w:r>
                            <w:r w:rsidR="007D5824">
                              <w:rPr>
                                <w:sz w:val="18"/>
                                <w:szCs w:val="18"/>
                                <w:lang w:eastAsia="es-CO"/>
                              </w:rPr>
                              <w:t>nm con 13950 elementos</w:t>
                            </w:r>
                          </w:p>
                        </w:tc>
                      </w:tr>
                      <w:tr w:rsidR="007D5824" w14:paraId="5595EF27" w14:textId="77777777" w:rsidTr="005833E1">
                        <w:tc>
                          <w:tcPr>
                            <w:tcW w:w="4530" w:type="dxa"/>
                          </w:tcPr>
                          <w:p w14:paraId="7DF67D78" w14:textId="50824B0D" w:rsidR="007D5824" w:rsidRDefault="003F4BD6" w:rsidP="00B60812">
                            <w:pPr>
                              <w:pStyle w:val="Contenidodelmarco"/>
                              <w:jc w:val="center"/>
                            </w:pPr>
                            <w:r>
                              <w:rPr>
                                <w:noProof/>
                              </w:rPr>
                              <w:drawing>
                                <wp:inline distT="0" distB="0" distL="0" distR="0" wp14:anchorId="47660849" wp14:editId="2360CC5F">
                                  <wp:extent cx="2703181" cy="2008800"/>
                                  <wp:effectExtent l="0" t="0" r="254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a:extLst>
                                              <a:ext uri="{28A0092B-C50C-407E-A947-70E740481C1C}">
                                                <a14:useLocalDpi xmlns:a14="http://schemas.microsoft.com/office/drawing/2010/main" val="0"/>
                                              </a:ext>
                                            </a:extLst>
                                          </a:blip>
                                          <a:srcRect l="5808" t="6800" r="23638"/>
                                          <a:stretch/>
                                        </pic:blipFill>
                                        <pic:spPr bwMode="auto">
                                          <a:xfrm>
                                            <a:off x="0" y="0"/>
                                            <a:ext cx="2703181" cy="2008800"/>
                                          </a:xfrm>
                                          <a:prstGeom prst="rect">
                                            <a:avLst/>
                                          </a:prstGeom>
                                          <a:noFill/>
                                          <a:ln>
                                            <a:noFill/>
                                          </a:ln>
                                          <a:extLst>
                                            <a:ext uri="{53640926-AAD7-44D8-BBD7-CCE9431645EC}">
                                              <a14:shadowObscured xmlns:a14="http://schemas.microsoft.com/office/drawing/2010/main"/>
                                            </a:ext>
                                          </a:extLst>
                                        </pic:spPr>
                                      </pic:pic>
                                    </a:graphicData>
                                  </a:graphic>
                                </wp:inline>
                              </w:drawing>
                            </w:r>
                          </w:p>
                          <w:p w14:paraId="74385F8C" w14:textId="25449E84" w:rsidR="007D5824" w:rsidRDefault="00F54AB3" w:rsidP="00B60812">
                            <w:pPr>
                              <w:pStyle w:val="Contenidodelmarco"/>
                              <w:jc w:val="center"/>
                            </w:pPr>
                            <w:r>
                              <w:rPr>
                                <w:sz w:val="18"/>
                                <w:szCs w:val="18"/>
                              </w:rPr>
                              <w:t>(c)</w:t>
                            </w:r>
                            <w:r w:rsidR="007D5824">
                              <w:rPr>
                                <w:sz w:val="18"/>
                                <w:szCs w:val="18"/>
                              </w:rPr>
                              <w:t>Tamaño de grano 16.2 nm con 1120 elementos</w:t>
                            </w:r>
                          </w:p>
                        </w:tc>
                        <w:tc>
                          <w:tcPr>
                            <w:tcW w:w="4395" w:type="dxa"/>
                          </w:tcPr>
                          <w:p w14:paraId="31B680E9" w14:textId="4309AFF8" w:rsidR="007D5824" w:rsidRDefault="00875A41" w:rsidP="00B60812">
                            <w:pPr>
                              <w:pStyle w:val="Contenidodelmarco"/>
                              <w:jc w:val="center"/>
                            </w:pPr>
                            <w:r>
                              <w:rPr>
                                <w:noProof/>
                              </w:rPr>
                              <w:drawing>
                                <wp:inline distT="0" distB="0" distL="0" distR="0" wp14:anchorId="4744B9F7" wp14:editId="715D717E">
                                  <wp:extent cx="2654566" cy="2008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8">
                                            <a:extLst>
                                              <a:ext uri="{28A0092B-C50C-407E-A947-70E740481C1C}">
                                                <a14:useLocalDpi xmlns:a14="http://schemas.microsoft.com/office/drawing/2010/main" val="0"/>
                                              </a:ext>
                                            </a:extLst>
                                          </a:blip>
                                          <a:srcRect l="6097" r="20155"/>
                                          <a:stretch/>
                                        </pic:blipFill>
                                        <pic:spPr bwMode="auto">
                                          <a:xfrm>
                                            <a:off x="0" y="0"/>
                                            <a:ext cx="2654566" cy="2008800"/>
                                          </a:xfrm>
                                          <a:prstGeom prst="rect">
                                            <a:avLst/>
                                          </a:prstGeom>
                                          <a:noFill/>
                                          <a:ln>
                                            <a:noFill/>
                                          </a:ln>
                                          <a:extLst>
                                            <a:ext uri="{53640926-AAD7-44D8-BBD7-CCE9431645EC}">
                                              <a14:shadowObscured xmlns:a14="http://schemas.microsoft.com/office/drawing/2010/main"/>
                                            </a:ext>
                                          </a:extLst>
                                        </pic:spPr>
                                      </pic:pic>
                                    </a:graphicData>
                                  </a:graphic>
                                </wp:inline>
                              </w:drawing>
                            </w:r>
                          </w:p>
                          <w:p w14:paraId="417C38A5" w14:textId="2BC6F65A" w:rsidR="007D5824" w:rsidRDefault="00F54AB3" w:rsidP="00B60812">
                            <w:pPr>
                              <w:pStyle w:val="Contenidodelmarco"/>
                              <w:jc w:val="center"/>
                            </w:pPr>
                            <w:r>
                              <w:rPr>
                                <w:sz w:val="18"/>
                                <w:szCs w:val="18"/>
                              </w:rPr>
                              <w:t>(d)</w:t>
                            </w:r>
                            <w:r w:rsidR="007D5824">
                              <w:rPr>
                                <w:sz w:val="18"/>
                                <w:szCs w:val="18"/>
                              </w:rPr>
                              <w:t>Tamaño de grano de 16.2 nm con 24000 elementos</w:t>
                            </w:r>
                          </w:p>
                        </w:tc>
                      </w:tr>
                      <w:tr w:rsidR="007D5824" w14:paraId="18E2E067" w14:textId="77777777" w:rsidTr="005833E1">
                        <w:tc>
                          <w:tcPr>
                            <w:tcW w:w="4530" w:type="dxa"/>
                          </w:tcPr>
                          <w:p w14:paraId="74048381" w14:textId="47617D97" w:rsidR="007D5824" w:rsidRDefault="00585176" w:rsidP="00B60812">
                            <w:pPr>
                              <w:pStyle w:val="Contenidodelmarco"/>
                              <w:jc w:val="center"/>
                            </w:pPr>
                            <w:r>
                              <w:rPr>
                                <w:noProof/>
                              </w:rPr>
                              <w:drawing>
                                <wp:inline distT="0" distB="0" distL="0" distR="0" wp14:anchorId="17071766" wp14:editId="0E6301E1">
                                  <wp:extent cx="2520000" cy="163844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
                                            <a:extLst>
                                              <a:ext uri="{28A0092B-C50C-407E-A947-70E740481C1C}">
                                                <a14:useLocalDpi xmlns:a14="http://schemas.microsoft.com/office/drawing/2010/main" val="0"/>
                                              </a:ext>
                                            </a:extLst>
                                          </a:blip>
                                          <a:srcRect l="4937" r="8540"/>
                                          <a:stretch/>
                                        </pic:blipFill>
                                        <pic:spPr bwMode="auto">
                                          <a:xfrm>
                                            <a:off x="0" y="0"/>
                                            <a:ext cx="2520000" cy="1638443"/>
                                          </a:xfrm>
                                          <a:prstGeom prst="rect">
                                            <a:avLst/>
                                          </a:prstGeom>
                                          <a:noFill/>
                                          <a:ln>
                                            <a:noFill/>
                                          </a:ln>
                                          <a:extLst>
                                            <a:ext uri="{53640926-AAD7-44D8-BBD7-CCE9431645EC}">
                                              <a14:shadowObscured xmlns:a14="http://schemas.microsoft.com/office/drawing/2010/main"/>
                                            </a:ext>
                                          </a:extLst>
                                        </pic:spPr>
                                      </pic:pic>
                                    </a:graphicData>
                                  </a:graphic>
                                </wp:inline>
                              </w:drawing>
                            </w:r>
                          </w:p>
                          <w:p w14:paraId="6C35F1FC" w14:textId="4A19A98A" w:rsidR="007D5824" w:rsidRDefault="00F54AB3" w:rsidP="00B60812">
                            <w:pPr>
                              <w:pStyle w:val="Contenidodelmarco"/>
                              <w:jc w:val="center"/>
                            </w:pPr>
                            <w:r>
                              <w:rPr>
                                <w:sz w:val="18"/>
                                <w:szCs w:val="18"/>
                              </w:rPr>
                              <w:t>(e)</w:t>
                            </w:r>
                            <w:r w:rsidR="007D5824">
                              <w:rPr>
                                <w:sz w:val="18"/>
                                <w:szCs w:val="18"/>
                              </w:rPr>
                              <w:t>Tamaño de grano 24.3 nm con 2</w:t>
                            </w:r>
                            <w:r w:rsidR="00975D8E">
                              <w:rPr>
                                <w:sz w:val="18"/>
                                <w:szCs w:val="18"/>
                              </w:rPr>
                              <w:t>240</w:t>
                            </w:r>
                            <w:r w:rsidR="007D5824">
                              <w:rPr>
                                <w:sz w:val="18"/>
                                <w:szCs w:val="18"/>
                              </w:rPr>
                              <w:t xml:space="preserve"> elementos</w:t>
                            </w:r>
                          </w:p>
                        </w:tc>
                        <w:tc>
                          <w:tcPr>
                            <w:tcW w:w="4395" w:type="dxa"/>
                          </w:tcPr>
                          <w:p w14:paraId="3782F77C" w14:textId="0A54B9E6" w:rsidR="007D5824" w:rsidRDefault="00AD1A2A" w:rsidP="00B60812">
                            <w:pPr>
                              <w:pStyle w:val="Contenidodelmarco"/>
                              <w:jc w:val="center"/>
                            </w:pPr>
                            <w:r>
                              <w:rPr>
                                <w:noProof/>
                              </w:rPr>
                              <w:drawing>
                                <wp:inline distT="0" distB="0" distL="0" distR="0" wp14:anchorId="7E208BA0" wp14:editId="116464B2">
                                  <wp:extent cx="2520000" cy="163843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a:extLst>
                                              <a:ext uri="{28A0092B-C50C-407E-A947-70E740481C1C}">
                                                <a14:useLocalDpi xmlns:a14="http://schemas.microsoft.com/office/drawing/2010/main" val="0"/>
                                              </a:ext>
                                            </a:extLst>
                                          </a:blip>
                                          <a:srcRect l="5227" r="8250"/>
                                          <a:stretch/>
                                        </pic:blipFill>
                                        <pic:spPr bwMode="auto">
                                          <a:xfrm>
                                            <a:off x="0" y="0"/>
                                            <a:ext cx="2520000" cy="1638433"/>
                                          </a:xfrm>
                                          <a:prstGeom prst="rect">
                                            <a:avLst/>
                                          </a:prstGeom>
                                          <a:noFill/>
                                          <a:ln>
                                            <a:noFill/>
                                          </a:ln>
                                          <a:extLst>
                                            <a:ext uri="{53640926-AAD7-44D8-BBD7-CCE9431645EC}">
                                              <a14:shadowObscured xmlns:a14="http://schemas.microsoft.com/office/drawing/2010/main"/>
                                            </a:ext>
                                          </a:extLst>
                                        </pic:spPr>
                                      </pic:pic>
                                    </a:graphicData>
                                  </a:graphic>
                                </wp:inline>
                              </w:drawing>
                            </w:r>
                          </w:p>
                          <w:p w14:paraId="6C912FC7" w14:textId="052F6D7A" w:rsidR="004D22CF" w:rsidRDefault="00F54AB3" w:rsidP="00B60812">
                            <w:pPr>
                              <w:pStyle w:val="Contenidodelmarco"/>
                              <w:jc w:val="center"/>
                            </w:pPr>
                            <w:r>
                              <w:rPr>
                                <w:sz w:val="18"/>
                                <w:szCs w:val="18"/>
                              </w:rPr>
                              <w:t>(f)</w:t>
                            </w:r>
                            <w:r w:rsidR="004D22CF">
                              <w:rPr>
                                <w:sz w:val="18"/>
                                <w:szCs w:val="18"/>
                              </w:rPr>
                              <w:t xml:space="preserve">Tamaño de grano 24.3 nm con </w:t>
                            </w:r>
                            <w:r w:rsidR="00585176">
                              <w:rPr>
                                <w:sz w:val="18"/>
                                <w:szCs w:val="18"/>
                              </w:rPr>
                              <w:t>81000</w:t>
                            </w:r>
                            <w:r w:rsidR="004D22CF">
                              <w:rPr>
                                <w:sz w:val="18"/>
                                <w:szCs w:val="18"/>
                              </w:rPr>
                              <w:t xml:space="preserve"> elementos</w:t>
                            </w:r>
                          </w:p>
                        </w:tc>
                      </w:tr>
                    </w:tbl>
                    <w:p w14:paraId="52C793AD" w14:textId="4A9C4D5B" w:rsidR="007D5824" w:rsidRDefault="007D5824" w:rsidP="007D5824">
                      <w:pPr>
                        <w:pStyle w:val="Descripcin"/>
                        <w:jc w:val="left"/>
                        <w:rPr>
                          <w:color w:val="000000"/>
                          <w:sz w:val="18"/>
                          <w:szCs w:val="16"/>
                        </w:rPr>
                      </w:pPr>
                      <w:r>
                        <w:rPr>
                          <w:b/>
                          <w:bCs/>
                          <w:color w:val="000000"/>
                          <w:sz w:val="18"/>
                          <w:szCs w:val="16"/>
                        </w:rPr>
                        <w:t>Figura 2</w:t>
                      </w:r>
                      <w:r>
                        <w:rPr>
                          <w:color w:val="000000"/>
                          <w:sz w:val="18"/>
                          <w:szCs w:val="16"/>
                        </w:rPr>
                        <w:t>. Campo de esfuerzos locales en monocristales de Aluminio con fisura de borde</w:t>
                      </w:r>
                      <w:r w:rsidR="00B751F1">
                        <w:rPr>
                          <w:color w:val="000000"/>
                          <w:sz w:val="18"/>
                          <w:szCs w:val="16"/>
                        </w:rPr>
                        <w:t xml:space="preserve"> para diferentes tamaños de grano</w:t>
                      </w:r>
                      <w:r>
                        <w:rPr>
                          <w:color w:val="000000"/>
                          <w:sz w:val="18"/>
                          <w:szCs w:val="16"/>
                        </w:rPr>
                        <w:t xml:space="preserve">. </w:t>
                      </w:r>
                    </w:p>
                    <w:p w14:paraId="69508BB3" w14:textId="07879254" w:rsidR="00C81F8E" w:rsidRPr="00C81F8E" w:rsidRDefault="00C81F8E" w:rsidP="00C81F8E">
                      <w:pPr>
                        <w:rPr>
                          <w:lang w:eastAsia="es-CO"/>
                        </w:rPr>
                      </w:pPr>
                    </w:p>
                  </w:txbxContent>
                </v:textbox>
                <w10:wrap type="tight" anchorx="margin"/>
              </v:rect>
            </w:pict>
          </mc:Fallback>
        </mc:AlternateContent>
      </w:r>
    </w:p>
    <w:p w14:paraId="4F144D75" w14:textId="77777777" w:rsidR="00302C08" w:rsidRDefault="00302C08"/>
    <w:p w14:paraId="3244A971" w14:textId="7E1A3947" w:rsidR="00302C08" w:rsidRDefault="00302C08">
      <w:pPr>
        <w:sectPr w:rsidR="00302C08">
          <w:type w:val="continuous"/>
          <w:pgSz w:w="11906" w:h="16838"/>
          <w:pgMar w:top="1934" w:right="1418" w:bottom="1418" w:left="1418" w:header="1064" w:footer="0" w:gutter="0"/>
          <w:cols w:space="720"/>
          <w:formProt w:val="0"/>
          <w:docGrid w:linePitch="600" w:charSpace="40960"/>
        </w:sectPr>
      </w:pPr>
    </w:p>
    <w:p w14:paraId="0CCDBA15" w14:textId="77777777" w:rsidR="00B751F1" w:rsidRDefault="00B751F1">
      <w:pPr>
        <w:jc w:val="left"/>
      </w:pPr>
      <w:r>
        <w:br w:type="page"/>
      </w:r>
    </w:p>
    <w:p w14:paraId="51608108" w14:textId="5C7FC824" w:rsidR="00302C08" w:rsidRDefault="00FA29EA">
      <w:r>
        <w:rPr>
          <w:noProof/>
        </w:rPr>
        <w:lastRenderedPageBreak/>
        <mc:AlternateContent>
          <mc:Choice Requires="wps">
            <w:drawing>
              <wp:anchor distT="45720" distB="45720" distL="114300" distR="113030" simplePos="0" relativeHeight="16" behindDoc="1" locked="0" layoutInCell="1" allowOverlap="1" wp14:anchorId="1D2A0ABC" wp14:editId="17A0E3C4">
                <wp:simplePos x="0" y="0"/>
                <wp:positionH relativeFrom="column">
                  <wp:posOffset>2967355</wp:posOffset>
                </wp:positionH>
                <wp:positionV relativeFrom="paragraph">
                  <wp:posOffset>849630</wp:posOffset>
                </wp:positionV>
                <wp:extent cx="3138170" cy="2881630"/>
                <wp:effectExtent l="0" t="0" r="5080" b="0"/>
                <wp:wrapTight wrapText="bothSides">
                  <wp:wrapPolygon edited="0">
                    <wp:start x="0" y="0"/>
                    <wp:lineTo x="0" y="21419"/>
                    <wp:lineTo x="21504" y="21419"/>
                    <wp:lineTo x="21504" y="0"/>
                    <wp:lineTo x="0" y="0"/>
                  </wp:wrapPolygon>
                </wp:wrapTight>
                <wp:docPr id="23" name="Text Box 2"/>
                <wp:cNvGraphicFramePr/>
                <a:graphic xmlns:a="http://schemas.openxmlformats.org/drawingml/2006/main">
                  <a:graphicData uri="http://schemas.microsoft.com/office/word/2010/wordprocessingShape">
                    <wps:wsp>
                      <wps:cNvSpPr/>
                      <wps:spPr>
                        <a:xfrm>
                          <a:off x="0" y="0"/>
                          <a:ext cx="3138170" cy="288163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tbl>
                            <w:tblPr>
                              <w:tblStyle w:val="Tablaconcuadrcula"/>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FE1A8E" w14:paraId="4C048F3E" w14:textId="77777777" w:rsidTr="00A163AB">
                              <w:trPr>
                                <w:trHeight w:val="3396"/>
                              </w:trPr>
                              <w:tc>
                                <w:tcPr>
                                  <w:tcW w:w="4531" w:type="dxa"/>
                                </w:tcPr>
                                <w:p w14:paraId="63EE6E0C" w14:textId="420642BA" w:rsidR="00FE1A8E" w:rsidRDefault="00892AB9">
                                  <w:pPr>
                                    <w:pStyle w:val="Descripcin"/>
                                    <w:jc w:val="center"/>
                                    <w:rPr>
                                      <w:b/>
                                      <w:bCs/>
                                    </w:rPr>
                                  </w:pPr>
                                  <w:r>
                                    <w:rPr>
                                      <w:noProof/>
                                    </w:rPr>
                                    <w:drawing>
                                      <wp:inline distT="0" distB="0" distL="0" distR="0" wp14:anchorId="3B4F11B7" wp14:editId="6178E4D2">
                                        <wp:extent cx="2700000" cy="1799806"/>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1799806"/>
                                                </a:xfrm>
                                                <a:prstGeom prst="rect">
                                                  <a:avLst/>
                                                </a:prstGeom>
                                                <a:noFill/>
                                                <a:ln>
                                                  <a:noFill/>
                                                </a:ln>
                                              </pic:spPr>
                                            </pic:pic>
                                          </a:graphicData>
                                        </a:graphic>
                                      </wp:inline>
                                    </w:drawing>
                                  </w:r>
                                </w:p>
                                <w:tbl>
                                  <w:tblPr>
                                    <w:tblStyle w:val="Tablaconcuadrcula"/>
                                    <w:tblW w:w="3062" w:type="dxa"/>
                                    <w:jc w:val="center"/>
                                    <w:tblLook w:val="04A0" w:firstRow="1" w:lastRow="0" w:firstColumn="1" w:lastColumn="0" w:noHBand="0" w:noVBand="1"/>
                                  </w:tblPr>
                                  <w:tblGrid>
                                    <w:gridCol w:w="1531"/>
                                    <w:gridCol w:w="1531"/>
                                  </w:tblGrid>
                                  <w:tr w:rsidR="00FE1A8E" w14:paraId="7C5E25D0" w14:textId="77777777" w:rsidTr="00D3597D">
                                    <w:trPr>
                                      <w:trHeight w:val="257"/>
                                      <w:jc w:val="center"/>
                                    </w:trPr>
                                    <w:tc>
                                      <w:tcPr>
                                        <w:tcW w:w="1531" w:type="dxa"/>
                                        <w:tcBorders>
                                          <w:top w:val="nil"/>
                                          <w:left w:val="nil"/>
                                          <w:right w:val="nil"/>
                                        </w:tcBorders>
                                      </w:tcPr>
                                      <w:p w14:paraId="4D00AF74" w14:textId="77777777" w:rsidR="00FE1A8E" w:rsidRDefault="00691556">
                                        <w:pPr>
                                          <w:pStyle w:val="Contenidodelmarco"/>
                                          <w:jc w:val="center"/>
                                          <w:rPr>
                                            <w:lang w:eastAsia="es-CO"/>
                                          </w:rPr>
                                        </w:pPr>
                                        <m:oMathPara>
                                          <m:oMath>
                                            <m:sSub>
                                              <m:sSubPr>
                                                <m:ctrlPr>
                                                  <w:rPr>
                                                    <w:rFonts w:ascii="Cambria Math" w:hAnsi="Cambria Math"/>
                                                  </w:rPr>
                                                </m:ctrlPr>
                                              </m:sSubPr>
                                              <m:e>
                                                <m:r>
                                                  <w:rPr>
                                                    <w:rFonts w:ascii="Cambria Math" w:hAnsi="Cambria Math"/>
                                                  </w:rPr>
                                                  <m:t>σ</m:t>
                                                </m:r>
                                              </m:e>
                                              <m:sub>
                                                <m:r>
                                                  <w:rPr>
                                                    <w:rFonts w:ascii="Cambria Math" w:hAnsi="Cambria Math"/>
                                                  </w:rPr>
                                                  <m:t>max</m:t>
                                                </m:r>
                                              </m:sub>
                                            </m:sSub>
                                            <m:r>
                                              <w:rPr>
                                                <w:rFonts w:ascii="Cambria Math" w:hAnsi="Cambria Math"/>
                                              </w:rPr>
                                              <m:t>=11GPa</m:t>
                                            </m:r>
                                          </m:oMath>
                                        </m:oMathPara>
                                      </w:p>
                                    </w:tc>
                                    <w:tc>
                                      <w:tcPr>
                                        <w:tcW w:w="1531" w:type="dxa"/>
                                        <w:tcBorders>
                                          <w:top w:val="nil"/>
                                          <w:left w:val="nil"/>
                                          <w:right w:val="nil"/>
                                        </w:tcBorders>
                                      </w:tcPr>
                                      <w:p w14:paraId="2E57E0F7" w14:textId="77777777" w:rsidR="00FE1A8E" w:rsidRDefault="00084A57">
                                        <w:pPr>
                                          <w:pStyle w:val="Contenidodelmarco"/>
                                          <w:jc w:val="center"/>
                                          <w:rPr>
                                            <w:lang w:eastAsia="es-CO"/>
                                          </w:rPr>
                                        </w:pPr>
                                        <m:oMathPara>
                                          <m:oMath>
                                            <m:r>
                                              <w:rPr>
                                                <w:rFonts w:ascii="Cambria Math" w:hAnsi="Cambria Math"/>
                                              </w:rPr>
                                              <m:t>s=2.10</m:t>
                                            </m:r>
                                          </m:oMath>
                                        </m:oMathPara>
                                      </w:p>
                                    </w:tc>
                                  </w:tr>
                                </w:tbl>
                                <w:p w14:paraId="42DDA4B5" w14:textId="77777777" w:rsidR="00FE1A8E" w:rsidRDefault="00FE1A8E">
                                  <w:pPr>
                                    <w:pStyle w:val="Contenidodelmarco"/>
                                    <w:rPr>
                                      <w:lang w:eastAsia="es-CO"/>
                                    </w:rPr>
                                  </w:pPr>
                                </w:p>
                              </w:tc>
                            </w:tr>
                          </w:tbl>
                          <w:p w14:paraId="65F80F0B" w14:textId="060F8671" w:rsidR="00FE1A8E" w:rsidRDefault="00084A57">
                            <w:pPr>
                              <w:pStyle w:val="Descripcin"/>
                              <w:rPr>
                                <w:sz w:val="18"/>
                                <w:szCs w:val="16"/>
                              </w:rPr>
                            </w:pPr>
                            <w:r>
                              <w:rPr>
                                <w:b/>
                                <w:bCs/>
                                <w:color w:val="000000"/>
                                <w:sz w:val="18"/>
                                <w:szCs w:val="16"/>
                              </w:rPr>
                              <w:t>Figura 4</w:t>
                            </w:r>
                            <w:r>
                              <w:rPr>
                                <w:color w:val="000000"/>
                                <w:sz w:val="18"/>
                                <w:szCs w:val="16"/>
                              </w:rPr>
                              <w:t xml:space="preserve">. </w:t>
                            </w:r>
                            <w:r w:rsidR="006F7838">
                              <w:rPr>
                                <w:color w:val="000000"/>
                                <w:sz w:val="18"/>
                                <w:szCs w:val="16"/>
                              </w:rPr>
                              <w:t>Histograma</w:t>
                            </w:r>
                            <w:r>
                              <w:rPr>
                                <w:color w:val="000000"/>
                                <w:sz w:val="18"/>
                                <w:szCs w:val="16"/>
                              </w:rPr>
                              <w:t xml:space="preserve"> de esfuerzos locales</w:t>
                            </w:r>
                            <w:r w:rsidR="006F7838">
                              <w:rPr>
                                <w:color w:val="000000"/>
                                <w:sz w:val="18"/>
                                <w:szCs w:val="16"/>
                              </w:rPr>
                              <w:t xml:space="preserve"> con</w:t>
                            </w:r>
                            <w:r>
                              <w:rPr>
                                <w:color w:val="000000"/>
                                <w:sz w:val="18"/>
                                <w:szCs w:val="16"/>
                              </w:rPr>
                              <w:t xml:space="preserve"> esfuerzo promedio </w:t>
                            </w:r>
                            <m:oMath>
                              <m:sSub>
                                <m:sSubPr>
                                  <m:ctrlPr>
                                    <w:rPr>
                                      <w:rFonts w:ascii="Cambria Math" w:hAnsi="Cambria Math"/>
                                      <w:i/>
                                      <w:color w:val="000000"/>
                                      <w:sz w:val="18"/>
                                      <w:szCs w:val="16"/>
                                    </w:rPr>
                                  </m:ctrlPr>
                                </m:sSubPr>
                                <m:e>
                                  <m:r>
                                    <w:rPr>
                                      <w:rFonts w:ascii="Cambria Math" w:hAnsi="Cambria Math"/>
                                      <w:color w:val="000000"/>
                                      <w:sz w:val="18"/>
                                      <w:szCs w:val="16"/>
                                    </w:rPr>
                                    <m:t>σ</m:t>
                                  </m:r>
                                </m:e>
                                <m:sub>
                                  <m:r>
                                    <w:rPr>
                                      <w:rFonts w:ascii="Cambria Math" w:hAnsi="Cambria Math"/>
                                      <w:color w:val="000000"/>
                                      <w:sz w:val="18"/>
                                      <w:szCs w:val="16"/>
                                    </w:rPr>
                                    <m:t>m</m:t>
                                  </m:r>
                                </m:sub>
                              </m:sSub>
                            </m:oMath>
                            <w:r w:rsidR="006F7838">
                              <w:rPr>
                                <w:color w:val="000000"/>
                                <w:sz w:val="18"/>
                                <w:szCs w:val="16"/>
                              </w:rPr>
                              <w:t xml:space="preserve"> </w:t>
                            </w:r>
                            <w:r>
                              <w:rPr>
                                <w:color w:val="000000"/>
                                <w:sz w:val="18"/>
                                <w:szCs w:val="16"/>
                              </w:rPr>
                              <w:t xml:space="preserve">y desviación estándar </w:t>
                            </w:r>
                            <m:oMath>
                              <m:r>
                                <w:rPr>
                                  <w:rFonts w:ascii="Cambria Math" w:hAnsi="Cambria Math"/>
                                  <w:color w:val="000000"/>
                                  <w:sz w:val="18"/>
                                  <w:szCs w:val="16"/>
                                </w:rPr>
                                <m:t>s</m:t>
                              </m:r>
                            </m:oMath>
                            <w:r w:rsidR="006F7838">
                              <w:rPr>
                                <w:color w:val="000000"/>
                                <w:sz w:val="18"/>
                                <w:szCs w:val="16"/>
                              </w:rPr>
                              <w:t xml:space="preserve"> </w:t>
                            </w:r>
                            <w:r>
                              <w:rPr>
                                <w:color w:val="000000"/>
                                <w:sz w:val="18"/>
                                <w:szCs w:val="16"/>
                              </w:rPr>
                              <w:t xml:space="preserve">en un monocristal de aluminio de 16.2 nm.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2A0ABC" id="_x0000_s1028" style="position:absolute;left:0;text-align:left;margin-left:233.65pt;margin-top:66.9pt;width:247.1pt;height:226.9pt;z-index:-503316464;visibility:visible;mso-wrap-style:square;mso-width-percent:0;mso-height-percent:0;mso-wrap-distance-left:9pt;mso-wrap-distance-top:3.6pt;mso-wrap-distance-right:8.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" stroked="f" strokeweight=".26mm">
                <v:textbox>
                  <w:txbxContent>
                    <w:tbl>
                      <w:tblPr>
                        <w:tblStyle w:val="Tablaconcuadrcula"/>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tblGrid>
                      <w:tr w:rsidR="00FE1A8E" w14:paraId="4C048F3E" w14:textId="77777777" w:rsidTr="00A163AB">
                        <w:trPr>
                          <w:trHeight w:val="3396"/>
                        </w:trPr>
                        <w:tc>
                          <w:tcPr>
                            <w:tcW w:w="4531" w:type="dxa"/>
                          </w:tcPr>
                          <w:p w14:paraId="63EE6E0C" w14:textId="420642BA" w:rsidR="00FE1A8E" w:rsidRDefault="00892AB9">
                            <w:pPr>
                              <w:pStyle w:val="Descripcin"/>
                              <w:jc w:val="center"/>
                              <w:rPr>
                                <w:b/>
                                <w:bCs/>
                              </w:rPr>
                            </w:pPr>
                            <w:r>
                              <w:rPr>
                                <w:noProof/>
                              </w:rPr>
                              <w:drawing>
                                <wp:inline distT="0" distB="0" distL="0" distR="0" wp14:anchorId="3B4F11B7" wp14:editId="6178E4D2">
                                  <wp:extent cx="2700000" cy="1799806"/>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1799806"/>
                                          </a:xfrm>
                                          <a:prstGeom prst="rect">
                                            <a:avLst/>
                                          </a:prstGeom>
                                          <a:noFill/>
                                          <a:ln>
                                            <a:noFill/>
                                          </a:ln>
                                        </pic:spPr>
                                      </pic:pic>
                                    </a:graphicData>
                                  </a:graphic>
                                </wp:inline>
                              </w:drawing>
                            </w:r>
                          </w:p>
                          <w:tbl>
                            <w:tblPr>
                              <w:tblStyle w:val="Tablaconcuadrcula"/>
                              <w:tblW w:w="3062" w:type="dxa"/>
                              <w:jc w:val="center"/>
                              <w:tblLook w:val="04A0" w:firstRow="1" w:lastRow="0" w:firstColumn="1" w:lastColumn="0" w:noHBand="0" w:noVBand="1"/>
                            </w:tblPr>
                            <w:tblGrid>
                              <w:gridCol w:w="1531"/>
                              <w:gridCol w:w="1531"/>
                            </w:tblGrid>
                            <w:tr w:rsidR="00FE1A8E" w14:paraId="7C5E25D0" w14:textId="77777777" w:rsidTr="00D3597D">
                              <w:trPr>
                                <w:trHeight w:val="257"/>
                                <w:jc w:val="center"/>
                              </w:trPr>
                              <w:tc>
                                <w:tcPr>
                                  <w:tcW w:w="1531" w:type="dxa"/>
                                  <w:tcBorders>
                                    <w:top w:val="nil"/>
                                    <w:left w:val="nil"/>
                                    <w:right w:val="nil"/>
                                  </w:tcBorders>
                                </w:tcPr>
                                <w:p w14:paraId="4D00AF74" w14:textId="77777777" w:rsidR="00FE1A8E" w:rsidRDefault="00691556">
                                  <w:pPr>
                                    <w:pStyle w:val="Contenidodelmarco"/>
                                    <w:jc w:val="center"/>
                                    <w:rPr>
                                      <w:lang w:eastAsia="es-CO"/>
                                    </w:rPr>
                                  </w:pPr>
                                  <m:oMathPara>
                                    <m:oMath>
                                      <m:sSub>
                                        <m:sSubPr>
                                          <m:ctrlPr>
                                            <w:rPr>
                                              <w:rFonts w:ascii="Cambria Math" w:hAnsi="Cambria Math"/>
                                            </w:rPr>
                                          </m:ctrlPr>
                                        </m:sSubPr>
                                        <m:e>
                                          <m:r>
                                            <w:rPr>
                                              <w:rFonts w:ascii="Cambria Math" w:hAnsi="Cambria Math"/>
                                            </w:rPr>
                                            <m:t>σ</m:t>
                                          </m:r>
                                        </m:e>
                                        <m:sub>
                                          <m:r>
                                            <w:rPr>
                                              <w:rFonts w:ascii="Cambria Math" w:hAnsi="Cambria Math"/>
                                            </w:rPr>
                                            <m:t>max</m:t>
                                          </m:r>
                                        </m:sub>
                                      </m:sSub>
                                      <m:r>
                                        <w:rPr>
                                          <w:rFonts w:ascii="Cambria Math" w:hAnsi="Cambria Math"/>
                                        </w:rPr>
                                        <m:t>=11GPa</m:t>
                                      </m:r>
                                    </m:oMath>
                                  </m:oMathPara>
                                </w:p>
                              </w:tc>
                              <w:tc>
                                <w:tcPr>
                                  <w:tcW w:w="1531" w:type="dxa"/>
                                  <w:tcBorders>
                                    <w:top w:val="nil"/>
                                    <w:left w:val="nil"/>
                                    <w:right w:val="nil"/>
                                  </w:tcBorders>
                                </w:tcPr>
                                <w:p w14:paraId="2E57E0F7" w14:textId="77777777" w:rsidR="00FE1A8E" w:rsidRDefault="00084A57">
                                  <w:pPr>
                                    <w:pStyle w:val="Contenidodelmarco"/>
                                    <w:jc w:val="center"/>
                                    <w:rPr>
                                      <w:lang w:eastAsia="es-CO"/>
                                    </w:rPr>
                                  </w:pPr>
                                  <m:oMathPara>
                                    <m:oMath>
                                      <m:r>
                                        <w:rPr>
                                          <w:rFonts w:ascii="Cambria Math" w:hAnsi="Cambria Math"/>
                                        </w:rPr>
                                        <m:t>s=2.10</m:t>
                                      </m:r>
                                    </m:oMath>
                                  </m:oMathPara>
                                </w:p>
                              </w:tc>
                            </w:tr>
                          </w:tbl>
                          <w:p w14:paraId="42DDA4B5" w14:textId="77777777" w:rsidR="00FE1A8E" w:rsidRDefault="00FE1A8E">
                            <w:pPr>
                              <w:pStyle w:val="Contenidodelmarco"/>
                              <w:rPr>
                                <w:lang w:eastAsia="es-CO"/>
                              </w:rPr>
                            </w:pPr>
                          </w:p>
                        </w:tc>
                      </w:tr>
                    </w:tbl>
                    <w:p w14:paraId="65F80F0B" w14:textId="060F8671" w:rsidR="00FE1A8E" w:rsidRDefault="00084A57">
                      <w:pPr>
                        <w:pStyle w:val="Descripcin"/>
                        <w:rPr>
                          <w:sz w:val="18"/>
                          <w:szCs w:val="16"/>
                        </w:rPr>
                      </w:pPr>
                      <w:r>
                        <w:rPr>
                          <w:b/>
                          <w:bCs/>
                          <w:color w:val="000000"/>
                          <w:sz w:val="18"/>
                          <w:szCs w:val="16"/>
                        </w:rPr>
                        <w:t>Figura 4</w:t>
                      </w:r>
                      <w:r>
                        <w:rPr>
                          <w:color w:val="000000"/>
                          <w:sz w:val="18"/>
                          <w:szCs w:val="16"/>
                        </w:rPr>
                        <w:t xml:space="preserve">. </w:t>
                      </w:r>
                      <w:r w:rsidR="006F7838">
                        <w:rPr>
                          <w:color w:val="000000"/>
                          <w:sz w:val="18"/>
                          <w:szCs w:val="16"/>
                        </w:rPr>
                        <w:t>Histograma</w:t>
                      </w:r>
                      <w:r>
                        <w:rPr>
                          <w:color w:val="000000"/>
                          <w:sz w:val="18"/>
                          <w:szCs w:val="16"/>
                        </w:rPr>
                        <w:t xml:space="preserve"> de esfuerzos locales</w:t>
                      </w:r>
                      <w:r w:rsidR="006F7838">
                        <w:rPr>
                          <w:color w:val="000000"/>
                          <w:sz w:val="18"/>
                          <w:szCs w:val="16"/>
                        </w:rPr>
                        <w:t xml:space="preserve"> con</w:t>
                      </w:r>
                      <w:r>
                        <w:rPr>
                          <w:color w:val="000000"/>
                          <w:sz w:val="18"/>
                          <w:szCs w:val="16"/>
                        </w:rPr>
                        <w:t xml:space="preserve"> esfuerzo promedio </w:t>
                      </w:r>
                      <m:oMath>
                        <m:sSub>
                          <m:sSubPr>
                            <m:ctrlPr>
                              <w:rPr>
                                <w:rFonts w:ascii="Cambria Math" w:hAnsi="Cambria Math"/>
                                <w:i/>
                                <w:color w:val="000000"/>
                                <w:sz w:val="18"/>
                                <w:szCs w:val="16"/>
                              </w:rPr>
                            </m:ctrlPr>
                          </m:sSubPr>
                          <m:e>
                            <m:r>
                              <w:rPr>
                                <w:rFonts w:ascii="Cambria Math" w:hAnsi="Cambria Math"/>
                                <w:color w:val="000000"/>
                                <w:sz w:val="18"/>
                                <w:szCs w:val="16"/>
                              </w:rPr>
                              <m:t>σ</m:t>
                            </m:r>
                          </m:e>
                          <m:sub>
                            <m:r>
                              <w:rPr>
                                <w:rFonts w:ascii="Cambria Math" w:hAnsi="Cambria Math"/>
                                <w:color w:val="000000"/>
                                <w:sz w:val="18"/>
                                <w:szCs w:val="16"/>
                              </w:rPr>
                              <m:t>m</m:t>
                            </m:r>
                          </m:sub>
                        </m:sSub>
                      </m:oMath>
                      <w:r w:rsidR="006F7838">
                        <w:rPr>
                          <w:color w:val="000000"/>
                          <w:sz w:val="18"/>
                          <w:szCs w:val="16"/>
                        </w:rPr>
                        <w:t xml:space="preserve"> </w:t>
                      </w:r>
                      <w:r>
                        <w:rPr>
                          <w:color w:val="000000"/>
                          <w:sz w:val="18"/>
                          <w:szCs w:val="16"/>
                        </w:rPr>
                        <w:t xml:space="preserve">y desviación estándar </w:t>
                      </w:r>
                      <m:oMath>
                        <m:r>
                          <w:rPr>
                            <w:rFonts w:ascii="Cambria Math" w:hAnsi="Cambria Math"/>
                            <w:color w:val="000000"/>
                            <w:sz w:val="18"/>
                            <w:szCs w:val="16"/>
                          </w:rPr>
                          <m:t>s</m:t>
                        </m:r>
                      </m:oMath>
                      <w:r w:rsidR="006F7838">
                        <w:rPr>
                          <w:color w:val="000000"/>
                          <w:sz w:val="18"/>
                          <w:szCs w:val="16"/>
                        </w:rPr>
                        <w:t xml:space="preserve"> </w:t>
                      </w:r>
                      <w:r>
                        <w:rPr>
                          <w:color w:val="000000"/>
                          <w:sz w:val="18"/>
                          <w:szCs w:val="16"/>
                        </w:rPr>
                        <w:t xml:space="preserve">en un monocristal de aluminio de 16.2 nm. </w:t>
                      </w:r>
                    </w:p>
                  </w:txbxContent>
                </v:textbox>
                <w10:wrap type="tight"/>
              </v:rect>
            </w:pict>
          </mc:Fallback>
        </mc:AlternateContent>
      </w:r>
      <w:r w:rsidR="00302C08">
        <w:t xml:space="preserve">Recientemente, </w:t>
      </w:r>
      <w:proofErr w:type="spellStart"/>
      <w:r w:rsidR="00302C08">
        <w:t>Stepanova</w:t>
      </w:r>
      <w:proofErr w:type="spellEnd"/>
      <w:r w:rsidR="00302C08">
        <w:t xml:space="preserve"> et al</w:t>
      </w:r>
      <w:r w:rsidR="00AA4C37">
        <w:t>.</w:t>
      </w:r>
      <w:r w:rsidR="00302C08">
        <w:t xml:space="preserve"> </w:t>
      </w:r>
      <w:r w:rsidR="00302C08">
        <w:fldChar w:fldCharType="begin" w:fldLock="1"/>
      </w:r>
      <w:r w:rsidR="00E71688">
        <w:instrText>ADDIN CSL_CITATION {"citationItems":[{"id":"ITEM-1","itemData":{"DOI":"10.1016/j.tafmec.2020.102691","ISSN":"01678442","abstract":"The overarching objective of the paper is to analyze the mixed-mode crack propagation direction angles by molecular dynamics method and to investigate the validity of continuum-based linear elastic fracture mechanics crack growth criteria. For this purpose, an embedded atom potential (EAM) available in LAMMPS (Large-scale Atomic/Molecular Massively Parallel Simulator) molecular dynamics (MD) software is utilized to accurately pinpoint mixed-mode crack growth. The study is focused on the application of the different approaches for determination of the initial crack propagation angle. Copper and aluminum plates with the central crack under complex mechanical stresses (Mode I and Mode II loading) are studied by extensive MD simulations. Williams’ expansion for the crack tip fields containing the higher-order terms is used. The crack propagation direction angles for combinations of Mode I and Mode II loadings are obtained by 1) multi-parameter fracture mechanics approach based on three fracture mechanics criteria: maximum tangential stress (MTS), maximum tangential strain and strain energy density (SED); 2) atomistic modeling for the mixed-mode loading of the plane medium with the central crack. The temperature effects during fracture processes in MD simulations are considered and temperature field distributions for mixed-mode crack propagation are obtained.","author":[{"dropping-particle":"","family":"Stepanova","given":"Larisa","non-dropping-particle":"","parse-names":false,"suffix":""},{"dropping-particle":"","family":"Bronnikov","given":"Sergey","non-dropping-particle":"","parse-names":false,"suffix":""}],"container-title":"Theoretical and Applied Fracture Mechanics","id":"ITEM-1","issue":"June","issued":{"date-parts":[["2020"]]},"page":"102691","publisher":"Elsevier","title":"A computational study of the mixed–mode crack behavior by molecular dynamics method and the multi – Parameter crack field description of classical fracture mechanics","type":"article-journal","volume":"109"},"uris":["http://www.mendeley.com/documents/?uuid=b2c30f20-8260-4ffe-9c35-554f3e8e2d4e"]}],"mendeley":{"formattedCitation":"[38]","plainTextFormattedCitation":"[38]","previouslyFormattedCitation":"[37]"},"properties":{"noteIndex":0},"schema":"https://github.com/citation-style-language/schema/raw/master/csl-citation.json"}</w:instrText>
      </w:r>
      <w:r w:rsidR="00302C08">
        <w:fldChar w:fldCharType="separate"/>
      </w:r>
      <w:r w:rsidR="00E71688" w:rsidRPr="00E71688">
        <w:rPr>
          <w:noProof/>
        </w:rPr>
        <w:t>[38]</w:t>
      </w:r>
      <w:r w:rsidR="00302C08">
        <w:fldChar w:fldCharType="end"/>
      </w:r>
      <w:r w:rsidR="00302C08">
        <w:t xml:space="preserve"> evaluaron los campos de esfuerzos en el Cobre (Cu) y el Aluminio (Al) para una placa con fisura central bajo condiciones de carga mixta (modo I y modo II) y observaron una distribución de esfuerzos de acuerdo con la teoría del medio continuo y la mecánica de la fractura lineal elástica en las superficies libres de tracción como el caso de los planos de la fisura. Estas diferencias se pueden atribuir intrínsecamente al método </w:t>
      </w:r>
      <w:r w:rsidR="001A61F8">
        <w:t>“</w:t>
      </w:r>
      <w:proofErr w:type="spellStart"/>
      <w:r w:rsidR="00302C08">
        <w:t>Atom</w:t>
      </w:r>
      <w:proofErr w:type="spellEnd"/>
      <w:r w:rsidR="00302C08">
        <w:t>-</w:t>
      </w:r>
      <w:proofErr w:type="spellStart"/>
      <w:r w:rsidR="00302C08">
        <w:t>to</w:t>
      </w:r>
      <w:proofErr w:type="spellEnd"/>
      <w:r w:rsidR="00302C08">
        <w:t>-continuum</w:t>
      </w:r>
      <w:r w:rsidR="001A61F8">
        <w:t>”</w:t>
      </w:r>
      <w:r w:rsidR="00302C08">
        <w:t xml:space="preserve"> (ATC) y su configuración. Como se puede observar, en una malla con pocos elementos los nodos pueden encontrarse en puntos intermedios de la punta de la fisura y el borde, dónde, contrastan esfuerzos locales muy altos y esfuerzos locales muy bajos, es decir, gradientes grandes que requieren una resolución de la malla mucho más fina para una mejor interpolación de los valores nodales. Sin embargo, una malla más fina puede significar que cada nodo dependa de la información de pocos átomos.</w:t>
      </w:r>
    </w:p>
    <w:p w14:paraId="0F251B89" w14:textId="03787670" w:rsidR="00FE1A8E" w:rsidRPr="0021596F" w:rsidRDefault="00A163AB">
      <w:r>
        <w:rPr>
          <w:noProof/>
        </w:rPr>
        <mc:AlternateContent>
          <mc:Choice Requires="wps">
            <w:drawing>
              <wp:anchor distT="45720" distB="45720" distL="114300" distR="114300" simplePos="0" relativeHeight="17" behindDoc="1" locked="0" layoutInCell="1" allowOverlap="1" wp14:anchorId="741625D5" wp14:editId="230009C1">
                <wp:simplePos x="0" y="0"/>
                <wp:positionH relativeFrom="column">
                  <wp:posOffset>2967124</wp:posOffset>
                </wp:positionH>
                <wp:positionV relativeFrom="paragraph">
                  <wp:posOffset>813839</wp:posOffset>
                </wp:positionV>
                <wp:extent cx="3103880" cy="2838450"/>
                <wp:effectExtent l="0" t="0" r="1270" b="0"/>
                <wp:wrapTight wrapText="bothSides">
                  <wp:wrapPolygon edited="0">
                    <wp:start x="0" y="0"/>
                    <wp:lineTo x="0" y="21455"/>
                    <wp:lineTo x="21476" y="21455"/>
                    <wp:lineTo x="21476" y="0"/>
                    <wp:lineTo x="0" y="0"/>
                  </wp:wrapPolygon>
                </wp:wrapTight>
                <wp:docPr id="27" name="Text Box 2"/>
                <wp:cNvGraphicFramePr/>
                <a:graphic xmlns:a="http://schemas.openxmlformats.org/drawingml/2006/main">
                  <a:graphicData uri="http://schemas.microsoft.com/office/word/2010/wordprocessingShape">
                    <wps:wsp>
                      <wps:cNvSpPr/>
                      <wps:spPr>
                        <a:xfrm>
                          <a:off x="0" y="0"/>
                          <a:ext cx="3103880" cy="283845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tbl>
                            <w:tblPr>
                              <w:tblStyle w:val="Tablaconcuadrcula"/>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FE1A8E" w14:paraId="5EC1CF96" w14:textId="77777777" w:rsidTr="00A163AB">
                              <w:trPr>
                                <w:trHeight w:val="3389"/>
                              </w:trPr>
                              <w:tc>
                                <w:tcPr>
                                  <w:tcW w:w="4531" w:type="dxa"/>
                                </w:tcPr>
                                <w:p w14:paraId="7DB9A407" w14:textId="151FFF75" w:rsidR="00FE1A8E" w:rsidRDefault="0033793F">
                                  <w:pPr>
                                    <w:pStyle w:val="Descripcin"/>
                                    <w:jc w:val="center"/>
                                    <w:rPr>
                                      <w:b/>
                                      <w:bCs/>
                                    </w:rPr>
                                  </w:pPr>
                                  <w:r>
                                    <w:rPr>
                                      <w:noProof/>
                                    </w:rPr>
                                    <w:drawing>
                                      <wp:inline distT="0" distB="0" distL="0" distR="0" wp14:anchorId="71FA6E05" wp14:editId="5A193C02">
                                        <wp:extent cx="2912110" cy="1941195"/>
                                        <wp:effectExtent l="0" t="0" r="254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2110" cy="1941195"/>
                                                </a:xfrm>
                                                <a:prstGeom prst="rect">
                                                  <a:avLst/>
                                                </a:prstGeom>
                                                <a:noFill/>
                                                <a:ln>
                                                  <a:noFill/>
                                                </a:ln>
                                              </pic:spPr>
                                            </pic:pic>
                                          </a:graphicData>
                                        </a:graphic>
                                      </wp:inline>
                                    </w:drawing>
                                  </w:r>
                                </w:p>
                                <w:tbl>
                                  <w:tblPr>
                                    <w:tblStyle w:val="Tablaconcuadrcula"/>
                                    <w:tblW w:w="3425" w:type="pct"/>
                                    <w:jc w:val="center"/>
                                    <w:tblLook w:val="04A0" w:firstRow="1" w:lastRow="0" w:firstColumn="1" w:lastColumn="0" w:noHBand="0" w:noVBand="1"/>
                                  </w:tblPr>
                                  <w:tblGrid>
                                    <w:gridCol w:w="1572"/>
                                    <w:gridCol w:w="1572"/>
                                  </w:tblGrid>
                                  <w:tr w:rsidR="00FE1A8E" w14:paraId="6BA09323" w14:textId="77777777" w:rsidTr="00D3597D">
                                    <w:trPr>
                                      <w:trHeight w:val="257"/>
                                      <w:jc w:val="center"/>
                                    </w:trPr>
                                    <w:tc>
                                      <w:tcPr>
                                        <w:tcW w:w="1531" w:type="dxa"/>
                                        <w:tcBorders>
                                          <w:top w:val="nil"/>
                                          <w:left w:val="nil"/>
                                          <w:right w:val="nil"/>
                                        </w:tcBorders>
                                      </w:tcPr>
                                      <w:p w14:paraId="55D6920F" w14:textId="77777777" w:rsidR="00FE1A8E" w:rsidRDefault="00691556">
                                        <w:pPr>
                                          <w:pStyle w:val="Contenidodelmarco"/>
                                          <w:jc w:val="center"/>
                                          <w:rPr>
                                            <w:lang w:eastAsia="es-CO"/>
                                          </w:rPr>
                                        </w:pPr>
                                        <m:oMathPara>
                                          <m:oMath>
                                            <m:sSub>
                                              <m:sSubPr>
                                                <m:ctrlPr>
                                                  <w:rPr>
                                                    <w:rFonts w:ascii="Cambria Math" w:hAnsi="Cambria Math"/>
                                                  </w:rPr>
                                                </m:ctrlPr>
                                              </m:sSubPr>
                                              <m:e>
                                                <m:r>
                                                  <w:rPr>
                                                    <w:rFonts w:ascii="Cambria Math" w:hAnsi="Cambria Math"/>
                                                  </w:rPr>
                                                  <m:t>σ</m:t>
                                                </m:r>
                                              </m:e>
                                              <m:sub>
                                                <m:r>
                                                  <w:rPr>
                                                    <w:rFonts w:ascii="Cambria Math" w:hAnsi="Cambria Math"/>
                                                  </w:rPr>
                                                  <m:t>max</m:t>
                                                </m:r>
                                              </m:sub>
                                            </m:sSub>
                                            <m:r>
                                              <w:rPr>
                                                <w:rFonts w:ascii="Cambria Math" w:hAnsi="Cambria Math"/>
                                              </w:rPr>
                                              <m:t>=11GPa</m:t>
                                            </m:r>
                                          </m:oMath>
                                        </m:oMathPara>
                                      </w:p>
                                    </w:tc>
                                    <w:tc>
                                      <w:tcPr>
                                        <w:tcW w:w="1531" w:type="dxa"/>
                                        <w:tcBorders>
                                          <w:top w:val="nil"/>
                                          <w:left w:val="nil"/>
                                          <w:right w:val="nil"/>
                                        </w:tcBorders>
                                      </w:tcPr>
                                      <w:p w14:paraId="23AE2A7C" w14:textId="77777777" w:rsidR="00FE1A8E" w:rsidRDefault="00084A57">
                                        <w:pPr>
                                          <w:pStyle w:val="Contenidodelmarco"/>
                                          <w:jc w:val="center"/>
                                          <w:rPr>
                                            <w:lang w:eastAsia="es-CO"/>
                                          </w:rPr>
                                        </w:pPr>
                                        <m:oMathPara>
                                          <m:oMath>
                                            <m:r>
                                              <w:rPr>
                                                <w:rFonts w:ascii="Cambria Math" w:hAnsi="Cambria Math"/>
                                              </w:rPr>
                                              <m:t>s=1.70</m:t>
                                            </m:r>
                                          </m:oMath>
                                        </m:oMathPara>
                                      </w:p>
                                    </w:tc>
                                  </w:tr>
                                </w:tbl>
                                <w:p w14:paraId="0A39997C" w14:textId="77777777" w:rsidR="00FE1A8E" w:rsidRDefault="00FE1A8E">
                                  <w:pPr>
                                    <w:pStyle w:val="Contenidodelmarco"/>
                                    <w:rPr>
                                      <w:lang w:eastAsia="es-CO"/>
                                    </w:rPr>
                                  </w:pPr>
                                </w:p>
                              </w:tc>
                            </w:tr>
                          </w:tbl>
                          <w:p w14:paraId="4C458768" w14:textId="35AFAA67" w:rsidR="00FE1A8E" w:rsidRDefault="00084A57" w:rsidP="00A163AB">
                            <w:pPr>
                              <w:pStyle w:val="Descripcin"/>
                              <w:rPr>
                                <w:sz w:val="18"/>
                                <w:szCs w:val="16"/>
                              </w:rPr>
                            </w:pPr>
                            <w:r>
                              <w:rPr>
                                <w:b/>
                                <w:bCs/>
                                <w:color w:val="000000"/>
                                <w:sz w:val="18"/>
                                <w:szCs w:val="16"/>
                              </w:rPr>
                              <w:t>Figura 5</w:t>
                            </w:r>
                            <w:r>
                              <w:rPr>
                                <w:color w:val="000000"/>
                                <w:sz w:val="18"/>
                                <w:szCs w:val="16"/>
                              </w:rPr>
                              <w:t xml:space="preserve">. </w:t>
                            </w:r>
                            <w:r w:rsidR="006F7838">
                              <w:rPr>
                                <w:color w:val="000000"/>
                                <w:sz w:val="18"/>
                                <w:szCs w:val="16"/>
                              </w:rPr>
                              <w:t>Histograma</w:t>
                            </w:r>
                            <w:r>
                              <w:rPr>
                                <w:color w:val="000000"/>
                                <w:sz w:val="18"/>
                                <w:szCs w:val="16"/>
                              </w:rPr>
                              <w:t xml:space="preserve"> de esfuerzos locales</w:t>
                            </w:r>
                            <w:r w:rsidR="006F7838">
                              <w:rPr>
                                <w:color w:val="000000"/>
                                <w:sz w:val="18"/>
                                <w:szCs w:val="16"/>
                              </w:rPr>
                              <w:t xml:space="preserve"> con</w:t>
                            </w:r>
                            <w:r>
                              <w:rPr>
                                <w:color w:val="000000"/>
                                <w:sz w:val="18"/>
                                <w:szCs w:val="16"/>
                              </w:rPr>
                              <w:t xml:space="preserve"> esfuerzo promedio </w:t>
                            </w:r>
                            <m:oMath>
                              <m:sSub>
                                <m:sSubPr>
                                  <m:ctrlPr>
                                    <w:rPr>
                                      <w:rFonts w:ascii="Cambria Math" w:hAnsi="Cambria Math"/>
                                      <w:i/>
                                      <w:color w:val="000000"/>
                                      <w:sz w:val="18"/>
                                      <w:szCs w:val="16"/>
                                    </w:rPr>
                                  </m:ctrlPr>
                                </m:sSubPr>
                                <m:e>
                                  <m:r>
                                    <w:rPr>
                                      <w:rFonts w:ascii="Cambria Math" w:hAnsi="Cambria Math"/>
                                      <w:color w:val="000000"/>
                                      <w:sz w:val="18"/>
                                      <w:szCs w:val="16"/>
                                    </w:rPr>
                                    <m:t>σ</m:t>
                                  </m:r>
                                </m:e>
                                <m:sub>
                                  <m:r>
                                    <w:rPr>
                                      <w:rFonts w:ascii="Cambria Math" w:hAnsi="Cambria Math"/>
                                      <w:color w:val="000000"/>
                                      <w:sz w:val="18"/>
                                      <w:szCs w:val="16"/>
                                    </w:rPr>
                                    <m:t>m</m:t>
                                  </m:r>
                                </m:sub>
                              </m:sSub>
                            </m:oMath>
                            <w:r w:rsidR="006F7838">
                              <w:rPr>
                                <w:color w:val="000000"/>
                                <w:sz w:val="18"/>
                                <w:szCs w:val="16"/>
                              </w:rPr>
                              <w:t xml:space="preserve"> </w:t>
                            </w:r>
                            <w:r>
                              <w:rPr>
                                <w:color w:val="000000"/>
                                <w:sz w:val="18"/>
                                <w:szCs w:val="16"/>
                              </w:rPr>
                              <w:t xml:space="preserve">y desviación estándar </w:t>
                            </w:r>
                            <m:oMath>
                              <m:r>
                                <w:rPr>
                                  <w:rFonts w:ascii="Cambria Math" w:hAnsi="Cambria Math"/>
                                  <w:color w:val="000000"/>
                                  <w:sz w:val="18"/>
                                  <w:szCs w:val="16"/>
                                </w:rPr>
                                <m:t>s</m:t>
                              </m:r>
                            </m:oMath>
                            <w:r>
                              <w:rPr>
                                <w:color w:val="000000"/>
                                <w:sz w:val="18"/>
                                <w:szCs w:val="16"/>
                              </w:rPr>
                              <w:t>en un monocristal de aluminio de 24.3 nm.</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41625D5" id="_x0000_s1029" style="position:absolute;left:0;text-align:left;margin-left:233.65pt;margin-top:64.1pt;width:244.4pt;height:223.5pt;z-index:-5033164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" stroked="f" strokeweight=".26mm">
                <v:textbox>
                  <w:txbxContent>
                    <w:tbl>
                      <w:tblPr>
                        <w:tblStyle w:val="Tablaconcuadrcula"/>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tblGrid>
                      <w:tr w:rsidR="00FE1A8E" w14:paraId="5EC1CF96" w14:textId="77777777" w:rsidTr="00A163AB">
                        <w:trPr>
                          <w:trHeight w:val="3389"/>
                        </w:trPr>
                        <w:tc>
                          <w:tcPr>
                            <w:tcW w:w="4531" w:type="dxa"/>
                          </w:tcPr>
                          <w:p w14:paraId="7DB9A407" w14:textId="151FFF75" w:rsidR="00FE1A8E" w:rsidRDefault="0033793F">
                            <w:pPr>
                              <w:pStyle w:val="Descripcin"/>
                              <w:jc w:val="center"/>
                              <w:rPr>
                                <w:b/>
                                <w:bCs/>
                              </w:rPr>
                            </w:pPr>
                            <w:r>
                              <w:rPr>
                                <w:noProof/>
                              </w:rPr>
                              <w:drawing>
                                <wp:inline distT="0" distB="0" distL="0" distR="0" wp14:anchorId="71FA6E05" wp14:editId="5A193C02">
                                  <wp:extent cx="2912110" cy="1941195"/>
                                  <wp:effectExtent l="0" t="0" r="254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2110" cy="1941195"/>
                                          </a:xfrm>
                                          <a:prstGeom prst="rect">
                                            <a:avLst/>
                                          </a:prstGeom>
                                          <a:noFill/>
                                          <a:ln>
                                            <a:noFill/>
                                          </a:ln>
                                        </pic:spPr>
                                      </pic:pic>
                                    </a:graphicData>
                                  </a:graphic>
                                </wp:inline>
                              </w:drawing>
                            </w:r>
                          </w:p>
                          <w:tbl>
                            <w:tblPr>
                              <w:tblStyle w:val="Tablaconcuadrcula"/>
                              <w:tblW w:w="3425" w:type="pct"/>
                              <w:jc w:val="center"/>
                              <w:tblLook w:val="04A0" w:firstRow="1" w:lastRow="0" w:firstColumn="1" w:lastColumn="0" w:noHBand="0" w:noVBand="1"/>
                            </w:tblPr>
                            <w:tblGrid>
                              <w:gridCol w:w="1572"/>
                              <w:gridCol w:w="1572"/>
                            </w:tblGrid>
                            <w:tr w:rsidR="00FE1A8E" w14:paraId="6BA09323" w14:textId="77777777" w:rsidTr="00D3597D">
                              <w:trPr>
                                <w:trHeight w:val="257"/>
                                <w:jc w:val="center"/>
                              </w:trPr>
                              <w:tc>
                                <w:tcPr>
                                  <w:tcW w:w="1531" w:type="dxa"/>
                                  <w:tcBorders>
                                    <w:top w:val="nil"/>
                                    <w:left w:val="nil"/>
                                    <w:right w:val="nil"/>
                                  </w:tcBorders>
                                </w:tcPr>
                                <w:p w14:paraId="55D6920F" w14:textId="77777777" w:rsidR="00FE1A8E" w:rsidRDefault="00691556">
                                  <w:pPr>
                                    <w:pStyle w:val="Contenidodelmarco"/>
                                    <w:jc w:val="center"/>
                                    <w:rPr>
                                      <w:lang w:eastAsia="es-CO"/>
                                    </w:rPr>
                                  </w:pPr>
                                  <m:oMathPara>
                                    <m:oMath>
                                      <m:sSub>
                                        <m:sSubPr>
                                          <m:ctrlPr>
                                            <w:rPr>
                                              <w:rFonts w:ascii="Cambria Math" w:hAnsi="Cambria Math"/>
                                            </w:rPr>
                                          </m:ctrlPr>
                                        </m:sSubPr>
                                        <m:e>
                                          <m:r>
                                            <w:rPr>
                                              <w:rFonts w:ascii="Cambria Math" w:hAnsi="Cambria Math"/>
                                            </w:rPr>
                                            <m:t>σ</m:t>
                                          </m:r>
                                        </m:e>
                                        <m:sub>
                                          <m:r>
                                            <w:rPr>
                                              <w:rFonts w:ascii="Cambria Math" w:hAnsi="Cambria Math"/>
                                            </w:rPr>
                                            <m:t>max</m:t>
                                          </m:r>
                                        </m:sub>
                                      </m:sSub>
                                      <m:r>
                                        <w:rPr>
                                          <w:rFonts w:ascii="Cambria Math" w:hAnsi="Cambria Math"/>
                                        </w:rPr>
                                        <m:t>=11GPa</m:t>
                                      </m:r>
                                    </m:oMath>
                                  </m:oMathPara>
                                </w:p>
                              </w:tc>
                              <w:tc>
                                <w:tcPr>
                                  <w:tcW w:w="1531" w:type="dxa"/>
                                  <w:tcBorders>
                                    <w:top w:val="nil"/>
                                    <w:left w:val="nil"/>
                                    <w:right w:val="nil"/>
                                  </w:tcBorders>
                                </w:tcPr>
                                <w:p w14:paraId="23AE2A7C" w14:textId="77777777" w:rsidR="00FE1A8E" w:rsidRDefault="00084A57">
                                  <w:pPr>
                                    <w:pStyle w:val="Contenidodelmarco"/>
                                    <w:jc w:val="center"/>
                                    <w:rPr>
                                      <w:lang w:eastAsia="es-CO"/>
                                    </w:rPr>
                                  </w:pPr>
                                  <m:oMathPara>
                                    <m:oMath>
                                      <m:r>
                                        <w:rPr>
                                          <w:rFonts w:ascii="Cambria Math" w:hAnsi="Cambria Math"/>
                                        </w:rPr>
                                        <m:t>s=1.70</m:t>
                                      </m:r>
                                    </m:oMath>
                                  </m:oMathPara>
                                </w:p>
                              </w:tc>
                            </w:tr>
                          </w:tbl>
                          <w:p w14:paraId="0A39997C" w14:textId="77777777" w:rsidR="00FE1A8E" w:rsidRDefault="00FE1A8E">
                            <w:pPr>
                              <w:pStyle w:val="Contenidodelmarco"/>
                              <w:rPr>
                                <w:lang w:eastAsia="es-CO"/>
                              </w:rPr>
                            </w:pPr>
                          </w:p>
                        </w:tc>
                      </w:tr>
                    </w:tbl>
                    <w:p w14:paraId="4C458768" w14:textId="35AFAA67" w:rsidR="00FE1A8E" w:rsidRDefault="00084A57" w:rsidP="00A163AB">
                      <w:pPr>
                        <w:pStyle w:val="Descripcin"/>
                        <w:rPr>
                          <w:sz w:val="18"/>
                          <w:szCs w:val="16"/>
                        </w:rPr>
                      </w:pPr>
                      <w:r>
                        <w:rPr>
                          <w:b/>
                          <w:bCs/>
                          <w:color w:val="000000"/>
                          <w:sz w:val="18"/>
                          <w:szCs w:val="16"/>
                        </w:rPr>
                        <w:t>Figura 5</w:t>
                      </w:r>
                      <w:r>
                        <w:rPr>
                          <w:color w:val="000000"/>
                          <w:sz w:val="18"/>
                          <w:szCs w:val="16"/>
                        </w:rPr>
                        <w:t xml:space="preserve">. </w:t>
                      </w:r>
                      <w:r w:rsidR="006F7838">
                        <w:rPr>
                          <w:color w:val="000000"/>
                          <w:sz w:val="18"/>
                          <w:szCs w:val="16"/>
                        </w:rPr>
                        <w:t>Histograma</w:t>
                      </w:r>
                      <w:r>
                        <w:rPr>
                          <w:color w:val="000000"/>
                          <w:sz w:val="18"/>
                          <w:szCs w:val="16"/>
                        </w:rPr>
                        <w:t xml:space="preserve"> de esfuerzos locales</w:t>
                      </w:r>
                      <w:r w:rsidR="006F7838">
                        <w:rPr>
                          <w:color w:val="000000"/>
                          <w:sz w:val="18"/>
                          <w:szCs w:val="16"/>
                        </w:rPr>
                        <w:t xml:space="preserve"> con</w:t>
                      </w:r>
                      <w:r>
                        <w:rPr>
                          <w:color w:val="000000"/>
                          <w:sz w:val="18"/>
                          <w:szCs w:val="16"/>
                        </w:rPr>
                        <w:t xml:space="preserve"> esfuerzo promedio </w:t>
                      </w:r>
                      <m:oMath>
                        <m:sSub>
                          <m:sSubPr>
                            <m:ctrlPr>
                              <w:rPr>
                                <w:rFonts w:ascii="Cambria Math" w:hAnsi="Cambria Math"/>
                                <w:i/>
                                <w:color w:val="000000"/>
                                <w:sz w:val="18"/>
                                <w:szCs w:val="16"/>
                              </w:rPr>
                            </m:ctrlPr>
                          </m:sSubPr>
                          <m:e>
                            <m:r>
                              <w:rPr>
                                <w:rFonts w:ascii="Cambria Math" w:hAnsi="Cambria Math"/>
                                <w:color w:val="000000"/>
                                <w:sz w:val="18"/>
                                <w:szCs w:val="16"/>
                              </w:rPr>
                              <m:t>σ</m:t>
                            </m:r>
                          </m:e>
                          <m:sub>
                            <m:r>
                              <w:rPr>
                                <w:rFonts w:ascii="Cambria Math" w:hAnsi="Cambria Math"/>
                                <w:color w:val="000000"/>
                                <w:sz w:val="18"/>
                                <w:szCs w:val="16"/>
                              </w:rPr>
                              <m:t>m</m:t>
                            </m:r>
                          </m:sub>
                        </m:sSub>
                      </m:oMath>
                      <w:r w:rsidR="006F7838">
                        <w:rPr>
                          <w:color w:val="000000"/>
                          <w:sz w:val="18"/>
                          <w:szCs w:val="16"/>
                        </w:rPr>
                        <w:t xml:space="preserve"> </w:t>
                      </w:r>
                      <w:r>
                        <w:rPr>
                          <w:color w:val="000000"/>
                          <w:sz w:val="18"/>
                          <w:szCs w:val="16"/>
                        </w:rPr>
                        <w:t xml:space="preserve">y desviación estándar </w:t>
                      </w:r>
                      <m:oMath>
                        <m:r>
                          <w:rPr>
                            <w:rFonts w:ascii="Cambria Math" w:hAnsi="Cambria Math"/>
                            <w:color w:val="000000"/>
                            <w:sz w:val="18"/>
                            <w:szCs w:val="16"/>
                          </w:rPr>
                          <m:t>s</m:t>
                        </m:r>
                      </m:oMath>
                      <w:r>
                        <w:rPr>
                          <w:color w:val="000000"/>
                          <w:sz w:val="18"/>
                          <w:szCs w:val="16"/>
                        </w:rPr>
                        <w:t>en un monocristal de aluminio de 24.3 nm.</w:t>
                      </w:r>
                    </w:p>
                  </w:txbxContent>
                </v:textbox>
                <w10:wrap type="tight"/>
              </v:rect>
            </w:pict>
          </mc:Fallback>
        </mc:AlternateContent>
      </w:r>
      <w:r w:rsidR="00084A57">
        <w:t xml:space="preserve">Por esta razón, se separan estas dos escalas de longitud y se usa una función de localización esférica con un radio de 3 veces el parámetro de red. Con esta configuración, es posible obtener una mejor resolución en cada nodo y hacer simultáneamente el refinamiento del mallado como sugiere Jones et al. en </w:t>
      </w:r>
      <w:r w:rsidR="00084A57">
        <w:fldChar w:fldCharType="begin" w:fldLock="1"/>
      </w:r>
      <w:r w:rsidR="00E71688">
        <w:instrText>ADDIN CSL_CITATION {"citationItems":[{"id":"ITEM-1","itemData":{"DOI":"DOI 10.1007/978-3-319-33480-6_7","ISBN":"9783319334806","ISSN":"0933033X","author":[{"dropping-particle":"","family":"Jones","given":"Reese E. .","non-dropping-particle":"","parse-names":false,"suffix":""},{"dropping-particle":"","family":"Templeton","given":"Jeremy","non-dropping-particle":"","parse-names":false,"suffix":""},{"dropping-particle":"","family":"Zimmerman","given":"Jonathan.","non-dropping-particle":"","parse-names":false,"suffix":""}],"chapter-number":"7","container-title":"Springer Series in Materials Science","id":"ITEM-1","issued":{"date-parts":[["2016"]]},"page":"441-468","title":"Principles of Coarse-Graining and Coupling Using the Atom-to-Continuum Method","type":"chapter","volume":"245"},"uris":["http://www.mendeley.com/documents/?uuid=eb5b6ff6-fdf7-484d-8f6f-3a4dd5d7e22a"]}],"mendeley":{"formattedCitation":"[28]","plainTextFormattedCitation":"[28]","previouslyFormattedCitation":"[27]"},"properties":{"noteIndex":0},"schema":"https://github.com/citation-style-language/schema/raw/master/csl-citation.json"}</w:instrText>
      </w:r>
      <w:r w:rsidR="00084A57">
        <w:fldChar w:fldCharType="separate"/>
      </w:r>
      <w:r w:rsidR="00E71688" w:rsidRPr="00E71688">
        <w:rPr>
          <w:noProof/>
        </w:rPr>
        <w:t>[28]</w:t>
      </w:r>
      <w:r w:rsidR="00084A57">
        <w:fldChar w:fldCharType="end"/>
      </w:r>
      <w:r w:rsidR="00084A57">
        <w:t xml:space="preserve">. No obstante, observamos que no son bien definidas estas regiones libres de esfuerzos de tracción, aún, implementando las configuraciones anteriormente expuestas. En una investigación similar encontrada en la literatura </w:t>
      </w:r>
      <w:r w:rsidR="00084A57">
        <w:fldChar w:fldCharType="begin" w:fldLock="1"/>
      </w:r>
      <w:r w:rsidR="00E71688">
        <w:instrText>ADDIN CSL_CITATION {"citationItems":[{"id":"ITEM-1","itemData":{"DOI":"10.1016/j.ceramint.2020.08.020","ISSN":"02728842","abstract":"Solid oxide fuel cells (SOFCs) are in a complex mechanical-thermal-electrochemical multi-field coupling condition, and traditional calculation methods are difficult to study from different scales concurrently. In this paper, we use a multi-scale method to investigate the mechanical properties of ceria. This multi-scale method cannot only obtain the micro-processes such as pre-phase transformation, phase transformation, and fracture represented by molecular dynamics (MD) calculations, but also acquire the displacement and stress fields by the finite element method (FEM). A center-cracked model is used to study the crack propagation and stress distribution near the crack tip. In the [100] crystal orientation, a stress-induced martensitic phase transformation occurs near the crack tip, while the [111] crystal orientation shows the characteristics of brittle fracture of ceramic materials. The stress-strain relationship calculated by this multi-scale method compares well with the results of MD simulations, which attests to its accuracy.","author":[{"dropping-particle":"","family":"Guan","given":"Tianyu","non-dropping-particle":"","parse-names":false,"suffix":""},{"dropping-particle":"","family":"Sun","given":"Yi","non-dropping-particle":"","parse-names":false,"suffix":""},{"dropping-particle":"","family":"Yang","given":"Zhiqiang","non-dropping-particle":"","parse-names":false,"suffix":""},{"dropping-particle":"","family":"Jing","given":"Yuhang","non-dropping-particle":"","parse-names":false,"suffix":""},{"dropping-particle":"","family":"Guo","given":"Wenfeng","non-dropping-particle":"","parse-names":false,"suffix":""}],"container-title":"Ceramics International","id":"ITEM-1","issue":"18","issued":{"date-parts":[["2020"]]},"page":"28613-28620","publisher":"Elsevier Ltd and Techna Group S.r.l.","title":"Multi-scale simulations of fracture behavior in CeO2","type":"article-journal","volume":"46"},"uris":["http://www.mendeley.com/documents/?uuid=118a1e6e-53d4-4754-8cab-b5b0d4a76bf0"]}],"mendeley":{"formattedCitation":"[39]","plainTextFormattedCitation":"[39]","previouslyFormattedCitation":"[38]"},"properties":{"noteIndex":0},"schema":"https://github.com/citation-style-language/schema/raw/master/csl-citation.json"}</w:instrText>
      </w:r>
      <w:r w:rsidR="00084A57">
        <w:fldChar w:fldCharType="separate"/>
      </w:r>
      <w:r w:rsidR="00E71688" w:rsidRPr="00E71688">
        <w:rPr>
          <w:noProof/>
        </w:rPr>
        <w:t>[39]</w:t>
      </w:r>
      <w:r w:rsidR="00084A57">
        <w:fldChar w:fldCharType="end"/>
      </w:r>
      <w:r w:rsidR="00084A57">
        <w:t xml:space="preserve"> se pueden observar diferencias del 22.7% en la resistencia última a la tensión del material </w:t>
      </w:r>
      <m:oMath>
        <m:sSub>
          <m:sSubPr>
            <m:ctrlPr>
              <w:rPr>
                <w:rFonts w:ascii="Cambria Math" w:hAnsi="Cambria Math"/>
              </w:rPr>
            </m:ctrlPr>
          </m:sSubPr>
          <m:e>
            <m:r>
              <w:rPr>
                <w:rFonts w:ascii="Cambria Math" w:hAnsi="Cambria Math"/>
              </w:rPr>
              <m:t>CeO</m:t>
            </m:r>
          </m:e>
          <m:sub>
            <m:r>
              <w:rPr>
                <w:rFonts w:ascii="Cambria Math" w:hAnsi="Cambria Math"/>
              </w:rPr>
              <m:t>2</m:t>
            </m:r>
          </m:sub>
        </m:sSub>
      </m:oMath>
      <w:r w:rsidR="00084A57">
        <w:rPr>
          <w:rFonts w:eastAsiaTheme="minorEastAsia"/>
        </w:rPr>
        <w:t xml:space="preserve"> con fisura central. Adicionalmente, se observa que en DM alcanza el valor máximo a una deformación del 6.9%, mientras, en ATC se alcanza el valor máximo a 2.3% de deformación. </w:t>
      </w:r>
    </w:p>
    <w:p w14:paraId="1D9E1530" w14:textId="38DA2CC8" w:rsidR="00FE1A8E" w:rsidRDefault="00710BD2">
      <w:r>
        <w:rPr>
          <w:noProof/>
        </w:rPr>
        <mc:AlternateContent>
          <mc:Choice Requires="wps">
            <w:drawing>
              <wp:anchor distT="45720" distB="45720" distL="114300" distR="114300" simplePos="0" relativeHeight="15" behindDoc="1" locked="0" layoutInCell="1" allowOverlap="1" wp14:anchorId="3FFC0703" wp14:editId="4B0AA7E2">
                <wp:simplePos x="0" y="0"/>
                <wp:positionH relativeFrom="column">
                  <wp:posOffset>-27305</wp:posOffset>
                </wp:positionH>
                <wp:positionV relativeFrom="paragraph">
                  <wp:posOffset>1018739</wp:posOffset>
                </wp:positionV>
                <wp:extent cx="2851785" cy="3022600"/>
                <wp:effectExtent l="0" t="0" r="5715" b="6350"/>
                <wp:wrapTight wrapText="bothSides">
                  <wp:wrapPolygon edited="0">
                    <wp:start x="0" y="0"/>
                    <wp:lineTo x="0" y="21509"/>
                    <wp:lineTo x="21499" y="21509"/>
                    <wp:lineTo x="21499" y="0"/>
                    <wp:lineTo x="0" y="0"/>
                  </wp:wrapPolygon>
                </wp:wrapTight>
                <wp:docPr id="31" name="Text Box 2"/>
                <wp:cNvGraphicFramePr/>
                <a:graphic xmlns:a="http://schemas.openxmlformats.org/drawingml/2006/main">
                  <a:graphicData uri="http://schemas.microsoft.com/office/word/2010/wordprocessingShape">
                    <wps:wsp>
                      <wps:cNvSpPr/>
                      <wps:spPr>
                        <a:xfrm>
                          <a:off x="0" y="0"/>
                          <a:ext cx="2851785" cy="302260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tbl>
                            <w:tblPr>
                              <w:tblStyle w:val="Tablaconcuadrcula"/>
                              <w:tblW w:w="396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tblGrid>
                            <w:tr w:rsidR="00FE1A8E" w14:paraId="22FA0F2D" w14:textId="77777777" w:rsidTr="00710BD2">
                              <w:trPr>
                                <w:trHeight w:val="3679"/>
                              </w:trPr>
                              <w:tc>
                                <w:tcPr>
                                  <w:tcW w:w="3969" w:type="dxa"/>
                                </w:tcPr>
                                <w:p w14:paraId="1D06F981" w14:textId="37099009" w:rsidR="00FE1A8E" w:rsidRDefault="00892AB9">
                                  <w:pPr>
                                    <w:pStyle w:val="Descripcin"/>
                                    <w:jc w:val="left"/>
                                    <w:rPr>
                                      <w:b/>
                                      <w:bCs/>
                                    </w:rPr>
                                  </w:pPr>
                                  <w:r>
                                    <w:rPr>
                                      <w:noProof/>
                                    </w:rPr>
                                    <w:drawing>
                                      <wp:inline distT="0" distB="0" distL="0" distR="0" wp14:anchorId="15B42DB6" wp14:editId="33935AA7">
                                        <wp:extent cx="2660015" cy="177355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0015" cy="1773555"/>
                                                </a:xfrm>
                                                <a:prstGeom prst="rect">
                                                  <a:avLst/>
                                                </a:prstGeom>
                                                <a:noFill/>
                                                <a:ln>
                                                  <a:noFill/>
                                                </a:ln>
                                              </pic:spPr>
                                            </pic:pic>
                                          </a:graphicData>
                                        </a:graphic>
                                      </wp:inline>
                                    </w:drawing>
                                  </w:r>
                                </w:p>
                                <w:tbl>
                                  <w:tblPr>
                                    <w:tblStyle w:val="Tablaconcuadrcula"/>
                                    <w:tblW w:w="3062" w:type="dxa"/>
                                    <w:jc w:val="center"/>
                                    <w:tblLook w:val="04A0" w:firstRow="1" w:lastRow="0" w:firstColumn="1" w:lastColumn="0" w:noHBand="0" w:noVBand="1"/>
                                  </w:tblPr>
                                  <w:tblGrid>
                                    <w:gridCol w:w="1531"/>
                                    <w:gridCol w:w="1531"/>
                                  </w:tblGrid>
                                  <w:tr w:rsidR="00FE1A8E" w14:paraId="6248ED9A" w14:textId="77777777" w:rsidTr="00D3597D">
                                    <w:trPr>
                                      <w:trHeight w:val="257"/>
                                      <w:jc w:val="center"/>
                                    </w:trPr>
                                    <w:tc>
                                      <w:tcPr>
                                        <w:tcW w:w="1531" w:type="dxa"/>
                                        <w:tcBorders>
                                          <w:top w:val="nil"/>
                                          <w:left w:val="nil"/>
                                          <w:right w:val="nil"/>
                                        </w:tcBorders>
                                      </w:tcPr>
                                      <w:p w14:paraId="2F9E9877" w14:textId="77777777" w:rsidR="00FE1A8E" w:rsidRDefault="00691556">
                                        <w:pPr>
                                          <w:pStyle w:val="Contenidodelmarco"/>
                                          <w:jc w:val="center"/>
                                          <w:rPr>
                                            <w:lang w:eastAsia="es-CO"/>
                                          </w:rPr>
                                        </w:pPr>
                                        <m:oMathPara>
                                          <m:oMath>
                                            <m:sSub>
                                              <m:sSubPr>
                                                <m:ctrlPr>
                                                  <w:rPr>
                                                    <w:rFonts w:ascii="Cambria Math" w:hAnsi="Cambria Math"/>
                                                  </w:rPr>
                                                </m:ctrlPr>
                                              </m:sSubPr>
                                              <m:e>
                                                <m:r>
                                                  <w:rPr>
                                                    <w:rFonts w:ascii="Cambria Math" w:hAnsi="Cambria Math"/>
                                                  </w:rPr>
                                                  <m:t>σ</m:t>
                                                </m:r>
                                              </m:e>
                                              <m:sub>
                                                <m:r>
                                                  <w:rPr>
                                                    <w:rFonts w:ascii="Cambria Math" w:hAnsi="Cambria Math"/>
                                                  </w:rPr>
                                                  <m:t>max</m:t>
                                                </m:r>
                                              </m:sub>
                                            </m:sSub>
                                            <m:r>
                                              <w:rPr>
                                                <w:rFonts w:ascii="Cambria Math" w:hAnsi="Cambria Math"/>
                                              </w:rPr>
                                              <m:t>=8.8GPa</m:t>
                                            </m:r>
                                          </m:oMath>
                                        </m:oMathPara>
                                      </w:p>
                                    </w:tc>
                                    <w:tc>
                                      <w:tcPr>
                                        <w:tcW w:w="1531" w:type="dxa"/>
                                        <w:tcBorders>
                                          <w:top w:val="nil"/>
                                          <w:left w:val="nil"/>
                                          <w:right w:val="nil"/>
                                        </w:tcBorders>
                                      </w:tcPr>
                                      <w:p w14:paraId="724BD575" w14:textId="77777777" w:rsidR="00FE1A8E" w:rsidRDefault="00084A57">
                                        <w:pPr>
                                          <w:pStyle w:val="Contenidodelmarco"/>
                                          <w:jc w:val="center"/>
                                          <w:rPr>
                                            <w:lang w:eastAsia="es-CO"/>
                                          </w:rPr>
                                        </w:pPr>
                                        <m:oMathPara>
                                          <m:oMath>
                                            <m:r>
                                              <w:rPr>
                                                <w:rFonts w:ascii="Cambria Math" w:hAnsi="Cambria Math"/>
                                              </w:rPr>
                                              <m:t>s=1.36</m:t>
                                            </m:r>
                                          </m:oMath>
                                        </m:oMathPara>
                                      </w:p>
                                    </w:tc>
                                  </w:tr>
                                </w:tbl>
                                <w:p w14:paraId="22D00FC7" w14:textId="77777777" w:rsidR="00FE1A8E" w:rsidRDefault="00FE1A8E">
                                  <w:pPr>
                                    <w:pStyle w:val="Contenidodelmarco"/>
                                    <w:jc w:val="center"/>
                                    <w:rPr>
                                      <w:lang w:eastAsia="es-CO"/>
                                    </w:rPr>
                                  </w:pPr>
                                </w:p>
                              </w:tc>
                            </w:tr>
                          </w:tbl>
                          <w:p w14:paraId="6E24E891" w14:textId="654594E1" w:rsidR="00FE1A8E" w:rsidRDefault="00084A57" w:rsidP="00710BD2">
                            <w:pPr>
                              <w:pStyle w:val="Descripcin"/>
                              <w:rPr>
                                <w:sz w:val="18"/>
                                <w:szCs w:val="16"/>
                              </w:rPr>
                            </w:pPr>
                            <w:r>
                              <w:rPr>
                                <w:b/>
                                <w:bCs/>
                                <w:color w:val="000000"/>
                                <w:sz w:val="18"/>
                                <w:szCs w:val="16"/>
                              </w:rPr>
                              <w:t>Figura 3</w:t>
                            </w:r>
                            <w:r>
                              <w:rPr>
                                <w:color w:val="000000"/>
                                <w:sz w:val="18"/>
                                <w:szCs w:val="16"/>
                              </w:rPr>
                              <w:t xml:space="preserve">. </w:t>
                            </w:r>
                            <w:r w:rsidR="006F7838">
                              <w:rPr>
                                <w:color w:val="000000"/>
                                <w:sz w:val="18"/>
                                <w:szCs w:val="16"/>
                              </w:rPr>
                              <w:t xml:space="preserve">Histograma </w:t>
                            </w:r>
                            <w:r>
                              <w:rPr>
                                <w:color w:val="000000"/>
                                <w:sz w:val="18"/>
                                <w:szCs w:val="16"/>
                              </w:rPr>
                              <w:t>de esfuerzos locales</w:t>
                            </w:r>
                            <w:r w:rsidR="006F7838">
                              <w:rPr>
                                <w:color w:val="000000"/>
                                <w:sz w:val="18"/>
                                <w:szCs w:val="16"/>
                              </w:rPr>
                              <w:t xml:space="preserve"> con</w:t>
                            </w:r>
                            <w:r>
                              <w:rPr>
                                <w:color w:val="000000"/>
                                <w:sz w:val="18"/>
                                <w:szCs w:val="16"/>
                              </w:rPr>
                              <w:t xml:space="preserve"> esfuerzo promedio</w:t>
                            </w:r>
                            <w:r w:rsidR="006F7838">
                              <w:rPr>
                                <w:color w:val="000000"/>
                                <w:sz w:val="18"/>
                                <w:szCs w:val="16"/>
                              </w:rPr>
                              <w:t xml:space="preserve"> </w:t>
                            </w:r>
                            <m:oMath>
                              <m:sSub>
                                <m:sSubPr>
                                  <m:ctrlPr>
                                    <w:rPr>
                                      <w:rFonts w:ascii="Cambria Math" w:hAnsi="Cambria Math"/>
                                      <w:i/>
                                      <w:color w:val="000000"/>
                                      <w:sz w:val="18"/>
                                      <w:szCs w:val="16"/>
                                    </w:rPr>
                                  </m:ctrlPr>
                                </m:sSubPr>
                                <m:e>
                                  <m:r>
                                    <w:rPr>
                                      <w:rFonts w:ascii="Cambria Math" w:hAnsi="Cambria Math"/>
                                      <w:color w:val="000000"/>
                                      <w:sz w:val="18"/>
                                      <w:szCs w:val="16"/>
                                    </w:rPr>
                                    <m:t>σ</m:t>
                                  </m:r>
                                </m:e>
                                <m:sub>
                                  <m:r>
                                    <w:rPr>
                                      <w:rFonts w:ascii="Cambria Math" w:hAnsi="Cambria Math"/>
                                      <w:color w:val="000000"/>
                                      <w:sz w:val="18"/>
                                      <w:szCs w:val="16"/>
                                    </w:rPr>
                                    <m:t>m</m:t>
                                  </m:r>
                                </m:sub>
                              </m:sSub>
                            </m:oMath>
                            <w:r>
                              <w:rPr>
                                <w:color w:val="000000"/>
                                <w:sz w:val="18"/>
                                <w:szCs w:val="16"/>
                              </w:rPr>
                              <w:t xml:space="preserve"> y desviación estándar</w:t>
                            </w:r>
                            <w:r w:rsidR="006F7838">
                              <w:rPr>
                                <w:color w:val="000000"/>
                                <w:sz w:val="18"/>
                                <w:szCs w:val="16"/>
                              </w:rPr>
                              <w:t xml:space="preserve"> </w:t>
                            </w:r>
                            <m:oMath>
                              <m:r>
                                <w:rPr>
                                  <w:rFonts w:ascii="Cambria Math" w:hAnsi="Cambria Math"/>
                                  <w:color w:val="000000"/>
                                  <w:sz w:val="18"/>
                                  <w:szCs w:val="16"/>
                                </w:rPr>
                                <m:t>s</m:t>
                              </m:r>
                            </m:oMath>
                            <w:r>
                              <w:rPr>
                                <w:color w:val="000000"/>
                                <w:sz w:val="18"/>
                                <w:szCs w:val="16"/>
                              </w:rPr>
                              <w:t xml:space="preserve"> en un monocristal de aluminio de 8.1 nm.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FFC0703" id="_x0000_s1030" style="position:absolute;left:0;text-align:left;margin-left:-2.15pt;margin-top:80.2pt;width:224.55pt;height:238pt;z-index:-5033164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" stroked="f" strokeweight=".26mm">
                <v:textbox>
                  <w:txbxContent>
                    <w:tbl>
                      <w:tblPr>
                        <w:tblStyle w:val="Tablaconcuadrcula"/>
                        <w:tblW w:w="396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tblGrid>
                      <w:tr w:rsidR="00FE1A8E" w14:paraId="22FA0F2D" w14:textId="77777777" w:rsidTr="00710BD2">
                        <w:trPr>
                          <w:trHeight w:val="3679"/>
                        </w:trPr>
                        <w:tc>
                          <w:tcPr>
                            <w:tcW w:w="3969" w:type="dxa"/>
                          </w:tcPr>
                          <w:p w14:paraId="1D06F981" w14:textId="37099009" w:rsidR="00FE1A8E" w:rsidRDefault="00892AB9">
                            <w:pPr>
                              <w:pStyle w:val="Descripcin"/>
                              <w:jc w:val="left"/>
                              <w:rPr>
                                <w:b/>
                                <w:bCs/>
                              </w:rPr>
                            </w:pPr>
                            <w:r>
                              <w:rPr>
                                <w:noProof/>
                              </w:rPr>
                              <w:drawing>
                                <wp:inline distT="0" distB="0" distL="0" distR="0" wp14:anchorId="15B42DB6" wp14:editId="33935AA7">
                                  <wp:extent cx="2660015" cy="177355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0015" cy="1773555"/>
                                          </a:xfrm>
                                          <a:prstGeom prst="rect">
                                            <a:avLst/>
                                          </a:prstGeom>
                                          <a:noFill/>
                                          <a:ln>
                                            <a:noFill/>
                                          </a:ln>
                                        </pic:spPr>
                                      </pic:pic>
                                    </a:graphicData>
                                  </a:graphic>
                                </wp:inline>
                              </w:drawing>
                            </w:r>
                          </w:p>
                          <w:tbl>
                            <w:tblPr>
                              <w:tblStyle w:val="Tablaconcuadrcula"/>
                              <w:tblW w:w="3062" w:type="dxa"/>
                              <w:jc w:val="center"/>
                              <w:tblLook w:val="04A0" w:firstRow="1" w:lastRow="0" w:firstColumn="1" w:lastColumn="0" w:noHBand="0" w:noVBand="1"/>
                            </w:tblPr>
                            <w:tblGrid>
                              <w:gridCol w:w="1531"/>
                              <w:gridCol w:w="1531"/>
                            </w:tblGrid>
                            <w:tr w:rsidR="00FE1A8E" w14:paraId="6248ED9A" w14:textId="77777777" w:rsidTr="00D3597D">
                              <w:trPr>
                                <w:trHeight w:val="257"/>
                                <w:jc w:val="center"/>
                              </w:trPr>
                              <w:tc>
                                <w:tcPr>
                                  <w:tcW w:w="1531" w:type="dxa"/>
                                  <w:tcBorders>
                                    <w:top w:val="nil"/>
                                    <w:left w:val="nil"/>
                                    <w:right w:val="nil"/>
                                  </w:tcBorders>
                                </w:tcPr>
                                <w:p w14:paraId="2F9E9877" w14:textId="77777777" w:rsidR="00FE1A8E" w:rsidRDefault="00691556">
                                  <w:pPr>
                                    <w:pStyle w:val="Contenidodelmarco"/>
                                    <w:jc w:val="center"/>
                                    <w:rPr>
                                      <w:lang w:eastAsia="es-CO"/>
                                    </w:rPr>
                                  </w:pPr>
                                  <m:oMathPara>
                                    <m:oMath>
                                      <m:sSub>
                                        <m:sSubPr>
                                          <m:ctrlPr>
                                            <w:rPr>
                                              <w:rFonts w:ascii="Cambria Math" w:hAnsi="Cambria Math"/>
                                            </w:rPr>
                                          </m:ctrlPr>
                                        </m:sSubPr>
                                        <m:e>
                                          <m:r>
                                            <w:rPr>
                                              <w:rFonts w:ascii="Cambria Math" w:hAnsi="Cambria Math"/>
                                            </w:rPr>
                                            <m:t>σ</m:t>
                                          </m:r>
                                        </m:e>
                                        <m:sub>
                                          <m:r>
                                            <w:rPr>
                                              <w:rFonts w:ascii="Cambria Math" w:hAnsi="Cambria Math"/>
                                            </w:rPr>
                                            <m:t>max</m:t>
                                          </m:r>
                                        </m:sub>
                                      </m:sSub>
                                      <m:r>
                                        <w:rPr>
                                          <w:rFonts w:ascii="Cambria Math" w:hAnsi="Cambria Math"/>
                                        </w:rPr>
                                        <m:t>=8.8GPa</m:t>
                                      </m:r>
                                    </m:oMath>
                                  </m:oMathPara>
                                </w:p>
                              </w:tc>
                              <w:tc>
                                <w:tcPr>
                                  <w:tcW w:w="1531" w:type="dxa"/>
                                  <w:tcBorders>
                                    <w:top w:val="nil"/>
                                    <w:left w:val="nil"/>
                                    <w:right w:val="nil"/>
                                  </w:tcBorders>
                                </w:tcPr>
                                <w:p w14:paraId="724BD575" w14:textId="77777777" w:rsidR="00FE1A8E" w:rsidRDefault="00084A57">
                                  <w:pPr>
                                    <w:pStyle w:val="Contenidodelmarco"/>
                                    <w:jc w:val="center"/>
                                    <w:rPr>
                                      <w:lang w:eastAsia="es-CO"/>
                                    </w:rPr>
                                  </w:pPr>
                                  <m:oMathPara>
                                    <m:oMath>
                                      <m:r>
                                        <w:rPr>
                                          <w:rFonts w:ascii="Cambria Math" w:hAnsi="Cambria Math"/>
                                        </w:rPr>
                                        <m:t>s=1.36</m:t>
                                      </m:r>
                                    </m:oMath>
                                  </m:oMathPara>
                                </w:p>
                              </w:tc>
                            </w:tr>
                          </w:tbl>
                          <w:p w14:paraId="22D00FC7" w14:textId="77777777" w:rsidR="00FE1A8E" w:rsidRDefault="00FE1A8E">
                            <w:pPr>
                              <w:pStyle w:val="Contenidodelmarco"/>
                              <w:jc w:val="center"/>
                              <w:rPr>
                                <w:lang w:eastAsia="es-CO"/>
                              </w:rPr>
                            </w:pPr>
                          </w:p>
                        </w:tc>
                      </w:tr>
                    </w:tbl>
                    <w:p w14:paraId="6E24E891" w14:textId="654594E1" w:rsidR="00FE1A8E" w:rsidRDefault="00084A57" w:rsidP="00710BD2">
                      <w:pPr>
                        <w:pStyle w:val="Descripcin"/>
                        <w:rPr>
                          <w:sz w:val="18"/>
                          <w:szCs w:val="16"/>
                        </w:rPr>
                      </w:pPr>
                      <w:r>
                        <w:rPr>
                          <w:b/>
                          <w:bCs/>
                          <w:color w:val="000000"/>
                          <w:sz w:val="18"/>
                          <w:szCs w:val="16"/>
                        </w:rPr>
                        <w:t>Figura 3</w:t>
                      </w:r>
                      <w:r>
                        <w:rPr>
                          <w:color w:val="000000"/>
                          <w:sz w:val="18"/>
                          <w:szCs w:val="16"/>
                        </w:rPr>
                        <w:t xml:space="preserve">. </w:t>
                      </w:r>
                      <w:r w:rsidR="006F7838">
                        <w:rPr>
                          <w:color w:val="000000"/>
                          <w:sz w:val="18"/>
                          <w:szCs w:val="16"/>
                        </w:rPr>
                        <w:t xml:space="preserve">Histograma </w:t>
                      </w:r>
                      <w:r>
                        <w:rPr>
                          <w:color w:val="000000"/>
                          <w:sz w:val="18"/>
                          <w:szCs w:val="16"/>
                        </w:rPr>
                        <w:t>de esfuerzos locales</w:t>
                      </w:r>
                      <w:r w:rsidR="006F7838">
                        <w:rPr>
                          <w:color w:val="000000"/>
                          <w:sz w:val="18"/>
                          <w:szCs w:val="16"/>
                        </w:rPr>
                        <w:t xml:space="preserve"> con</w:t>
                      </w:r>
                      <w:r>
                        <w:rPr>
                          <w:color w:val="000000"/>
                          <w:sz w:val="18"/>
                          <w:szCs w:val="16"/>
                        </w:rPr>
                        <w:t xml:space="preserve"> esfuerzo promedio</w:t>
                      </w:r>
                      <w:r w:rsidR="006F7838">
                        <w:rPr>
                          <w:color w:val="000000"/>
                          <w:sz w:val="18"/>
                          <w:szCs w:val="16"/>
                        </w:rPr>
                        <w:t xml:space="preserve"> </w:t>
                      </w:r>
                      <m:oMath>
                        <m:sSub>
                          <m:sSubPr>
                            <m:ctrlPr>
                              <w:rPr>
                                <w:rFonts w:ascii="Cambria Math" w:hAnsi="Cambria Math"/>
                                <w:i/>
                                <w:color w:val="000000"/>
                                <w:sz w:val="18"/>
                                <w:szCs w:val="16"/>
                              </w:rPr>
                            </m:ctrlPr>
                          </m:sSubPr>
                          <m:e>
                            <m:r>
                              <w:rPr>
                                <w:rFonts w:ascii="Cambria Math" w:hAnsi="Cambria Math"/>
                                <w:color w:val="000000"/>
                                <w:sz w:val="18"/>
                                <w:szCs w:val="16"/>
                              </w:rPr>
                              <m:t>σ</m:t>
                            </m:r>
                          </m:e>
                          <m:sub>
                            <m:r>
                              <w:rPr>
                                <w:rFonts w:ascii="Cambria Math" w:hAnsi="Cambria Math"/>
                                <w:color w:val="000000"/>
                                <w:sz w:val="18"/>
                                <w:szCs w:val="16"/>
                              </w:rPr>
                              <m:t>m</m:t>
                            </m:r>
                          </m:sub>
                        </m:sSub>
                      </m:oMath>
                      <w:r>
                        <w:rPr>
                          <w:color w:val="000000"/>
                          <w:sz w:val="18"/>
                          <w:szCs w:val="16"/>
                        </w:rPr>
                        <w:t xml:space="preserve"> y desviación estándar</w:t>
                      </w:r>
                      <w:r w:rsidR="006F7838">
                        <w:rPr>
                          <w:color w:val="000000"/>
                          <w:sz w:val="18"/>
                          <w:szCs w:val="16"/>
                        </w:rPr>
                        <w:t xml:space="preserve"> </w:t>
                      </w:r>
                      <m:oMath>
                        <m:r>
                          <w:rPr>
                            <w:rFonts w:ascii="Cambria Math" w:hAnsi="Cambria Math"/>
                            <w:color w:val="000000"/>
                            <w:sz w:val="18"/>
                            <w:szCs w:val="16"/>
                          </w:rPr>
                          <m:t>s</m:t>
                        </m:r>
                      </m:oMath>
                      <w:r>
                        <w:rPr>
                          <w:color w:val="000000"/>
                          <w:sz w:val="18"/>
                          <w:szCs w:val="16"/>
                        </w:rPr>
                        <w:t xml:space="preserve"> en un monocristal de aluminio de 8.1 nm. </w:t>
                      </w:r>
                    </w:p>
                  </w:txbxContent>
                </v:textbox>
                <w10:wrap type="tight"/>
              </v:rect>
            </w:pict>
          </mc:Fallback>
        </mc:AlternateContent>
      </w:r>
      <w:r w:rsidR="00084A57">
        <w:t xml:space="preserve">Para verificar los resultados obtenidos de ATC se calculan los esfuerzos promedios de los tres tamaños </w:t>
      </w:r>
      <w:r w:rsidR="00084A57">
        <w:t xml:space="preserve">de grano con el mayor número de elementos y se comparan con los esfuerzos globales obtenidos de dinámica molecular usando el teorema del Virial y los promedios derivados de la formulación de Hardy </w:t>
      </w:r>
      <w:r w:rsidR="00084A57">
        <w:fldChar w:fldCharType="begin" w:fldLock="1"/>
      </w:r>
      <w:r w:rsidR="00E71688">
        <w:instrText>ADDIN CSL_CITATION {"citationItems":[{"id":"ITEM-1","itemData":{"author":[{"dropping-particle":"","family":"Velilla Diaz","given":"Wilmer","non-dropping-particle":"","parse-names":false,"suffix":""}],"id":"ITEM-1","issued":{"date-parts":[["2019"]]},"number-of-pages":"68","publisher":"Universidad del Norte, Barranquilla,Colombia","title":"Efecto de las fronteras de grano en la tenacidad a la fractura de materiales nano-cristalinos fisurados","type":"thesis"},"uris":["http://www.mendeley.com/documents/?uuid=9cb6e72e-c7c1-43b0-8af9-fb23e8162bd0"]}],"mendeley":{"formattedCitation":"[40]","plainTextFormattedCitation":"[40]","previouslyFormattedCitation":"[39]"},"properties":{"noteIndex":0},"schema":"https://github.com/citation-style-language/schema/raw/master/csl-citation.json"}</w:instrText>
      </w:r>
      <w:r w:rsidR="00084A57">
        <w:fldChar w:fldCharType="separate"/>
      </w:r>
      <w:r w:rsidR="00E71688" w:rsidRPr="00E71688">
        <w:rPr>
          <w:noProof/>
        </w:rPr>
        <w:t>[40]</w:t>
      </w:r>
      <w:r w:rsidR="00084A57">
        <w:fldChar w:fldCharType="end"/>
      </w:r>
      <w:r w:rsidR="00084A57">
        <w:t>.</w:t>
      </w:r>
    </w:p>
    <w:p w14:paraId="7FDD1FED" w14:textId="73688ECE" w:rsidR="00A163AB" w:rsidRDefault="00A163AB" w:rsidP="00A163AB">
      <w:pPr>
        <w:pStyle w:val="Descripcin"/>
        <w:keepNext/>
        <w:jc w:val="left"/>
        <w:rPr>
          <w:rFonts w:cs="Times New Roman"/>
          <w:sz w:val="18"/>
        </w:rPr>
      </w:pPr>
      <w:r>
        <w:rPr>
          <w:rFonts w:cs="Times New Roman"/>
          <w:b/>
          <w:bCs/>
          <w:sz w:val="18"/>
        </w:rPr>
        <w:t>Tabla 1.</w:t>
      </w:r>
      <w:r>
        <w:rPr>
          <w:rFonts w:cs="Times New Roman"/>
          <w:sz w:val="18"/>
        </w:rPr>
        <w:t xml:space="preserve"> Resistencia última a tensión para monocristales de Aluminio con diferentes tamaños de grano.</w:t>
      </w:r>
    </w:p>
    <w:tbl>
      <w:tblPr>
        <w:tblStyle w:val="Tablanormal1"/>
        <w:tblW w:w="4536" w:type="dxa"/>
        <w:tblInd w:w="-5" w:type="dxa"/>
        <w:tblLook w:val="04A0" w:firstRow="1" w:lastRow="0" w:firstColumn="1" w:lastColumn="0" w:noHBand="0" w:noVBand="1"/>
      </w:tblPr>
      <w:tblGrid>
        <w:gridCol w:w="709"/>
        <w:gridCol w:w="851"/>
        <w:gridCol w:w="1134"/>
        <w:gridCol w:w="990"/>
        <w:gridCol w:w="852"/>
      </w:tblGrid>
      <w:tr w:rsidR="00A163AB" w14:paraId="39EE4C86" w14:textId="77777777" w:rsidTr="007D5824">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709" w:type="dxa"/>
          </w:tcPr>
          <w:p w14:paraId="611EBFCE" w14:textId="77777777" w:rsidR="00A163AB" w:rsidRDefault="00A163AB" w:rsidP="00045347">
            <w:pPr>
              <w:rPr>
                <w:lang w:val="en-US"/>
              </w:rPr>
            </w:pPr>
            <w:r>
              <w:rPr>
                <w:sz w:val="18"/>
                <w:szCs w:val="18"/>
              </w:rPr>
              <w:t>d[nm]</w:t>
            </w:r>
          </w:p>
        </w:tc>
        <w:tc>
          <w:tcPr>
            <w:tcW w:w="851" w:type="dxa"/>
          </w:tcPr>
          <w:p w14:paraId="73B133A6" w14:textId="4EA4358B" w:rsidR="00A163AB" w:rsidRDefault="00691556" w:rsidP="00045347">
            <w:pPr>
              <w:cnfStyle w:val="100000000000" w:firstRow="1" w:lastRow="0" w:firstColumn="0" w:lastColumn="0" w:oddVBand="0" w:evenVBand="0" w:oddHBand="0" w:evenHBand="0" w:firstRowFirstColumn="0" w:firstRowLastColumn="0" w:lastRowFirstColumn="0" w:lastRowLastColumn="0"/>
              <w:rPr>
                <w:rFonts w:eastAsia="Calibri" w:cs="Times New Roman"/>
                <w:sz w:val="18"/>
                <w:szCs w:val="18"/>
              </w:rPr>
            </w:pPr>
            <m:oMath>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zz</m:t>
                  </m:r>
                </m:sub>
              </m:sSub>
            </m:oMath>
            <w:r w:rsidR="00A163AB">
              <w:rPr>
                <w:rFonts w:eastAsia="Calibri" w:cs="Times New Roman"/>
              </w:rPr>
              <w:t xml:space="preserve"> </w:t>
            </w:r>
            <w:r w:rsidR="00A163AB">
              <w:rPr>
                <w:rFonts w:eastAsia="Calibri" w:cs="Times New Roman"/>
                <w:sz w:val="18"/>
                <w:szCs w:val="18"/>
              </w:rPr>
              <w:t>VT</w:t>
            </w:r>
          </w:p>
          <w:p w14:paraId="70176422" w14:textId="77777777" w:rsidR="00A163AB" w:rsidRDefault="00A163AB" w:rsidP="00045347">
            <w:pPr>
              <w:cnfStyle w:val="100000000000" w:firstRow="1" w:lastRow="0" w:firstColumn="0" w:lastColumn="0" w:oddVBand="0" w:evenVBand="0" w:oddHBand="0" w:evenHBand="0" w:firstRowFirstColumn="0" w:firstRowLastColumn="0" w:lastRowFirstColumn="0" w:lastRowLastColumn="0"/>
              <w:rPr>
                <w:rFonts w:eastAsia="Calibri" w:cs="Times New Roman"/>
                <w:b w:val="0"/>
              </w:rPr>
            </w:pPr>
            <w:r>
              <w:rPr>
                <w:rFonts w:eastAsia="Calibri" w:cs="Times New Roman"/>
                <w:sz w:val="18"/>
                <w:szCs w:val="18"/>
              </w:rPr>
              <w:t>GPa</w:t>
            </w:r>
          </w:p>
        </w:tc>
        <w:tc>
          <w:tcPr>
            <w:tcW w:w="1134" w:type="dxa"/>
          </w:tcPr>
          <w:p w14:paraId="4C695DDE" w14:textId="0CA6F8C8" w:rsidR="00A163AB" w:rsidRDefault="00691556" w:rsidP="00045347">
            <w:pPr>
              <w:cnfStyle w:val="100000000000" w:firstRow="1" w:lastRow="0" w:firstColumn="0" w:lastColumn="0" w:oddVBand="0" w:evenVBand="0" w:oddHBand="0" w:evenHBand="0" w:firstRowFirstColumn="0" w:firstRowLastColumn="0" w:lastRowFirstColumn="0" w:lastRowLastColumn="0"/>
              <w:rPr>
                <w:lang w:val="en-US"/>
              </w:rPr>
            </w:pPr>
            <m:oMath>
              <m:sSub>
                <m:sSubPr>
                  <m:ctrlPr>
                    <w:rPr>
                      <w:rFonts w:ascii="Cambria Math" w:hAnsi="Cambria Math"/>
                    </w:rPr>
                  </m:ctrlPr>
                </m:sSubPr>
                <m:e>
                  <m:r>
                    <m:rPr>
                      <m:sty m:val="bi"/>
                    </m:rPr>
                    <w:rPr>
                      <w:rFonts w:ascii="Cambria Math" w:hAnsi="Cambria Math"/>
                    </w:rPr>
                    <m:t>σ</m:t>
                  </m:r>
                </m:e>
                <m:sub>
                  <m:r>
                    <m:rPr>
                      <m:sty m:val="bi"/>
                    </m:rPr>
                    <w:rPr>
                      <w:rFonts w:ascii="Cambria Math" w:hAnsi="Cambria Math"/>
                    </w:rPr>
                    <m:t>zz</m:t>
                  </m:r>
                </m:sub>
              </m:sSub>
            </m:oMath>
            <w:r w:rsidR="00A163AB">
              <w:rPr>
                <w:rFonts w:eastAsiaTheme="minorEastAsia"/>
              </w:rPr>
              <w:t xml:space="preserve"> </w:t>
            </w:r>
            <w:r w:rsidR="00A163AB">
              <w:rPr>
                <w:sz w:val="18"/>
                <w:szCs w:val="18"/>
              </w:rPr>
              <w:t>Hardy GPa</w:t>
            </w:r>
          </w:p>
        </w:tc>
        <w:tc>
          <w:tcPr>
            <w:tcW w:w="990" w:type="dxa"/>
          </w:tcPr>
          <w:p w14:paraId="0142EEAF" w14:textId="77777777" w:rsidR="00A163AB" w:rsidRDefault="00691556" w:rsidP="00045347">
            <w:pPr>
              <w:cnfStyle w:val="100000000000" w:firstRow="1" w:lastRow="0" w:firstColumn="0" w:lastColumn="0" w:oddVBand="0" w:evenVBand="0" w:oddHBand="0" w:evenHBand="0" w:firstRowFirstColumn="0" w:firstRowLastColumn="0" w:lastRowFirstColumn="0" w:lastRowLastColumn="0"/>
              <w:rPr>
                <w:bCs w:val="0"/>
              </w:rPr>
            </w:pP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zz</m:t>
                  </m:r>
                </m:sub>
              </m:sSub>
            </m:oMath>
            <w:r w:rsidR="00A163AB">
              <w:rPr>
                <w:rFonts w:eastAsiaTheme="minorEastAsia"/>
                <w:bCs w:val="0"/>
              </w:rPr>
              <w:t xml:space="preserve"> </w:t>
            </w:r>
            <w:r w:rsidR="00A163AB">
              <w:rPr>
                <w:rFonts w:eastAsiaTheme="minorEastAsia"/>
                <w:bCs w:val="0"/>
                <w:sz w:val="18"/>
                <w:szCs w:val="18"/>
              </w:rPr>
              <w:t>ATC GPa</w:t>
            </w:r>
          </w:p>
        </w:tc>
        <w:tc>
          <w:tcPr>
            <w:tcW w:w="852" w:type="dxa"/>
          </w:tcPr>
          <w:p w14:paraId="7FCB6BAA" w14:textId="77777777" w:rsidR="00A163AB" w:rsidRDefault="00A163AB" w:rsidP="00045347">
            <w:pPr>
              <w:cnfStyle w:val="100000000000" w:firstRow="1" w:lastRow="0" w:firstColumn="0" w:lastColumn="0" w:oddVBand="0" w:evenVBand="0" w:oddHBand="0" w:evenHBand="0" w:firstRowFirstColumn="0" w:firstRowLastColumn="0" w:lastRowFirstColumn="0" w:lastRowLastColumn="0"/>
              <w:rPr>
                <w:lang w:val="en-US"/>
              </w:rPr>
            </w:pPr>
            <w:r>
              <w:rPr>
                <w:sz w:val="18"/>
                <w:szCs w:val="18"/>
              </w:rPr>
              <w:t>Error* (%)</w:t>
            </w:r>
          </w:p>
        </w:tc>
      </w:tr>
      <w:tr w:rsidR="00A163AB" w14:paraId="30EBEB05" w14:textId="77777777" w:rsidTr="007D5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5FA8820" w14:textId="77777777" w:rsidR="00A163AB" w:rsidRDefault="00A163AB" w:rsidP="00045347">
            <w:pPr>
              <w:rPr>
                <w:lang w:val="en-US"/>
              </w:rPr>
            </w:pPr>
            <w:r>
              <w:t>8.1</w:t>
            </w:r>
          </w:p>
        </w:tc>
        <w:tc>
          <w:tcPr>
            <w:tcW w:w="851" w:type="dxa"/>
          </w:tcPr>
          <w:p w14:paraId="7744E620" w14:textId="77777777" w:rsidR="00A163AB" w:rsidRDefault="00A163AB" w:rsidP="00045347">
            <w:pPr>
              <w:cnfStyle w:val="000000100000" w:firstRow="0" w:lastRow="0" w:firstColumn="0" w:lastColumn="0" w:oddVBand="0" w:evenVBand="0" w:oddHBand="1" w:evenHBand="0" w:firstRowFirstColumn="0" w:firstRowLastColumn="0" w:lastRowFirstColumn="0" w:lastRowLastColumn="0"/>
              <w:rPr>
                <w:lang w:val="en-US"/>
              </w:rPr>
            </w:pPr>
            <w:r>
              <w:t>2.79</w:t>
            </w:r>
          </w:p>
        </w:tc>
        <w:tc>
          <w:tcPr>
            <w:tcW w:w="1134" w:type="dxa"/>
          </w:tcPr>
          <w:p w14:paraId="293D43CD" w14:textId="77777777" w:rsidR="00A163AB" w:rsidRDefault="00A163AB" w:rsidP="00045347">
            <w:pPr>
              <w:cnfStyle w:val="000000100000" w:firstRow="0" w:lastRow="0" w:firstColumn="0" w:lastColumn="0" w:oddVBand="0" w:evenVBand="0" w:oddHBand="1" w:evenHBand="0" w:firstRowFirstColumn="0" w:firstRowLastColumn="0" w:lastRowFirstColumn="0" w:lastRowLastColumn="0"/>
              <w:rPr>
                <w:lang w:val="en-US"/>
              </w:rPr>
            </w:pPr>
            <w:r>
              <w:t>2.66</w:t>
            </w:r>
          </w:p>
        </w:tc>
        <w:tc>
          <w:tcPr>
            <w:tcW w:w="990" w:type="dxa"/>
          </w:tcPr>
          <w:p w14:paraId="2E5ED1C9" w14:textId="77777777" w:rsidR="00A163AB" w:rsidRDefault="00A163AB" w:rsidP="00045347">
            <w:pPr>
              <w:cnfStyle w:val="000000100000" w:firstRow="0" w:lastRow="0" w:firstColumn="0" w:lastColumn="0" w:oddVBand="0" w:evenVBand="0" w:oddHBand="1" w:evenHBand="0" w:firstRowFirstColumn="0" w:firstRowLastColumn="0" w:lastRowFirstColumn="0" w:lastRowLastColumn="0"/>
              <w:rPr>
                <w:lang w:val="en-US"/>
              </w:rPr>
            </w:pPr>
            <w:r>
              <w:t>6.67</w:t>
            </w:r>
          </w:p>
        </w:tc>
        <w:tc>
          <w:tcPr>
            <w:tcW w:w="852" w:type="dxa"/>
          </w:tcPr>
          <w:p w14:paraId="06A2DC59" w14:textId="77777777" w:rsidR="00A163AB" w:rsidRDefault="00A163AB" w:rsidP="00045347">
            <w:pPr>
              <w:cnfStyle w:val="000000100000" w:firstRow="0" w:lastRow="0" w:firstColumn="0" w:lastColumn="0" w:oddVBand="0" w:evenVBand="0" w:oddHBand="1" w:evenHBand="0" w:firstRowFirstColumn="0" w:firstRowLastColumn="0" w:lastRowFirstColumn="0" w:lastRowLastColumn="0"/>
              <w:rPr>
                <w:lang w:val="en-US"/>
              </w:rPr>
            </w:pPr>
            <w:r>
              <w:t>150.7</w:t>
            </w:r>
          </w:p>
        </w:tc>
      </w:tr>
      <w:tr w:rsidR="00A163AB" w14:paraId="17752339" w14:textId="77777777" w:rsidTr="007D5824">
        <w:tc>
          <w:tcPr>
            <w:cnfStyle w:val="001000000000" w:firstRow="0" w:lastRow="0" w:firstColumn="1" w:lastColumn="0" w:oddVBand="0" w:evenVBand="0" w:oddHBand="0" w:evenHBand="0" w:firstRowFirstColumn="0" w:firstRowLastColumn="0" w:lastRowFirstColumn="0" w:lastRowLastColumn="0"/>
            <w:tcW w:w="709" w:type="dxa"/>
          </w:tcPr>
          <w:p w14:paraId="65A3EA7E" w14:textId="77777777" w:rsidR="00A163AB" w:rsidRDefault="00A163AB" w:rsidP="00045347">
            <w:pPr>
              <w:rPr>
                <w:lang w:val="en-US"/>
              </w:rPr>
            </w:pPr>
            <w:r>
              <w:t>16.2</w:t>
            </w:r>
          </w:p>
        </w:tc>
        <w:tc>
          <w:tcPr>
            <w:tcW w:w="851" w:type="dxa"/>
          </w:tcPr>
          <w:p w14:paraId="5C67CF25" w14:textId="77777777" w:rsidR="00A163AB" w:rsidRDefault="00A163AB" w:rsidP="00045347">
            <w:pPr>
              <w:cnfStyle w:val="000000000000" w:firstRow="0" w:lastRow="0" w:firstColumn="0" w:lastColumn="0" w:oddVBand="0" w:evenVBand="0" w:oddHBand="0" w:evenHBand="0" w:firstRowFirstColumn="0" w:firstRowLastColumn="0" w:lastRowFirstColumn="0" w:lastRowLastColumn="0"/>
              <w:rPr>
                <w:lang w:val="en-US"/>
              </w:rPr>
            </w:pPr>
            <w:r w:rsidRPr="00B83DA5">
              <w:t>2.87</w:t>
            </w:r>
          </w:p>
        </w:tc>
        <w:tc>
          <w:tcPr>
            <w:tcW w:w="1134" w:type="dxa"/>
          </w:tcPr>
          <w:p w14:paraId="1582A373" w14:textId="77777777" w:rsidR="00A163AB" w:rsidRDefault="00A163AB" w:rsidP="00045347">
            <w:pPr>
              <w:cnfStyle w:val="000000000000" w:firstRow="0" w:lastRow="0" w:firstColumn="0" w:lastColumn="0" w:oddVBand="0" w:evenVBand="0" w:oddHBand="0" w:evenHBand="0" w:firstRowFirstColumn="0" w:firstRowLastColumn="0" w:lastRowFirstColumn="0" w:lastRowLastColumn="0"/>
              <w:rPr>
                <w:lang w:val="en-US"/>
              </w:rPr>
            </w:pPr>
            <w:r>
              <w:t>2.84</w:t>
            </w:r>
          </w:p>
        </w:tc>
        <w:tc>
          <w:tcPr>
            <w:tcW w:w="990" w:type="dxa"/>
          </w:tcPr>
          <w:p w14:paraId="4FC5208F" w14:textId="52B50EC7" w:rsidR="00A163AB" w:rsidRDefault="00A163AB" w:rsidP="00045347">
            <w:pPr>
              <w:cnfStyle w:val="000000000000" w:firstRow="0" w:lastRow="0" w:firstColumn="0" w:lastColumn="0" w:oddVBand="0" w:evenVBand="0" w:oddHBand="0" w:evenHBand="0" w:firstRowFirstColumn="0" w:firstRowLastColumn="0" w:lastRowFirstColumn="0" w:lastRowLastColumn="0"/>
              <w:rPr>
                <w:highlight w:val="yellow"/>
              </w:rPr>
            </w:pPr>
            <w:r>
              <w:t>6.</w:t>
            </w:r>
            <w:r w:rsidR="006F4E35">
              <w:t>39</w:t>
            </w:r>
          </w:p>
        </w:tc>
        <w:tc>
          <w:tcPr>
            <w:tcW w:w="852" w:type="dxa"/>
          </w:tcPr>
          <w:p w14:paraId="587EE71D" w14:textId="068EE1BD" w:rsidR="00A163AB" w:rsidRDefault="00A163AB" w:rsidP="00045347">
            <w:pPr>
              <w:cnfStyle w:val="000000000000" w:firstRow="0" w:lastRow="0" w:firstColumn="0" w:lastColumn="0" w:oddVBand="0" w:evenVBand="0" w:oddHBand="0" w:evenHBand="0" w:firstRowFirstColumn="0" w:firstRowLastColumn="0" w:lastRowFirstColumn="0" w:lastRowLastColumn="0"/>
              <w:rPr>
                <w:lang w:val="en-US"/>
              </w:rPr>
            </w:pPr>
            <w:r>
              <w:t>12</w:t>
            </w:r>
            <w:r w:rsidR="006F4E35">
              <w:t>5.0</w:t>
            </w:r>
          </w:p>
        </w:tc>
      </w:tr>
      <w:tr w:rsidR="00A163AB" w14:paraId="615389AB" w14:textId="77777777" w:rsidTr="007D5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D4F377" w14:textId="77777777" w:rsidR="00A163AB" w:rsidRDefault="00A163AB" w:rsidP="00045347">
            <w:pPr>
              <w:rPr>
                <w:lang w:val="en-US"/>
              </w:rPr>
            </w:pPr>
            <w:r>
              <w:t>24.3</w:t>
            </w:r>
          </w:p>
        </w:tc>
        <w:tc>
          <w:tcPr>
            <w:tcW w:w="851" w:type="dxa"/>
          </w:tcPr>
          <w:p w14:paraId="1B8CC0B9" w14:textId="77777777" w:rsidR="00A163AB" w:rsidRDefault="00A163AB" w:rsidP="00045347">
            <w:pPr>
              <w:cnfStyle w:val="000000100000" w:firstRow="0" w:lastRow="0" w:firstColumn="0" w:lastColumn="0" w:oddVBand="0" w:evenVBand="0" w:oddHBand="1" w:evenHBand="0" w:firstRowFirstColumn="0" w:firstRowLastColumn="0" w:lastRowFirstColumn="0" w:lastRowLastColumn="0"/>
              <w:rPr>
                <w:lang w:val="en-US"/>
              </w:rPr>
            </w:pPr>
            <w:r>
              <w:t>2.68</w:t>
            </w:r>
          </w:p>
        </w:tc>
        <w:tc>
          <w:tcPr>
            <w:tcW w:w="1134" w:type="dxa"/>
          </w:tcPr>
          <w:p w14:paraId="01CA3E4C" w14:textId="77777777" w:rsidR="00A163AB" w:rsidRDefault="00A163AB" w:rsidP="00045347">
            <w:pPr>
              <w:cnfStyle w:val="000000100000" w:firstRow="0" w:lastRow="0" w:firstColumn="0" w:lastColumn="0" w:oddVBand="0" w:evenVBand="0" w:oddHBand="1" w:evenHBand="0" w:firstRowFirstColumn="0" w:firstRowLastColumn="0" w:lastRowFirstColumn="0" w:lastRowLastColumn="0"/>
              <w:rPr>
                <w:lang w:val="en-US"/>
              </w:rPr>
            </w:pPr>
            <w:r>
              <w:t>2.56</w:t>
            </w:r>
          </w:p>
        </w:tc>
        <w:tc>
          <w:tcPr>
            <w:tcW w:w="990" w:type="dxa"/>
          </w:tcPr>
          <w:p w14:paraId="46C488DB" w14:textId="77777777" w:rsidR="00A163AB" w:rsidRDefault="00A163AB" w:rsidP="00045347">
            <w:pPr>
              <w:cnfStyle w:val="000000100000" w:firstRow="0" w:lastRow="0" w:firstColumn="0" w:lastColumn="0" w:oddVBand="0" w:evenVBand="0" w:oddHBand="1" w:evenHBand="0" w:firstRowFirstColumn="0" w:firstRowLastColumn="0" w:lastRowFirstColumn="0" w:lastRowLastColumn="0"/>
              <w:rPr>
                <w:lang w:val="en-US"/>
              </w:rPr>
            </w:pPr>
            <w:r>
              <w:t>7.90</w:t>
            </w:r>
          </w:p>
        </w:tc>
        <w:tc>
          <w:tcPr>
            <w:tcW w:w="852" w:type="dxa"/>
          </w:tcPr>
          <w:p w14:paraId="7CC30995" w14:textId="77777777" w:rsidR="00A163AB" w:rsidRDefault="00A163AB" w:rsidP="00045347">
            <w:pPr>
              <w:cnfStyle w:val="000000100000" w:firstRow="0" w:lastRow="0" w:firstColumn="0" w:lastColumn="0" w:oddVBand="0" w:evenVBand="0" w:oddHBand="1" w:evenHBand="0" w:firstRowFirstColumn="0" w:firstRowLastColumn="0" w:lastRowFirstColumn="0" w:lastRowLastColumn="0"/>
              <w:rPr>
                <w:lang w:val="en-US"/>
              </w:rPr>
            </w:pPr>
            <w:r>
              <w:t>208.5</w:t>
            </w:r>
          </w:p>
        </w:tc>
      </w:tr>
    </w:tbl>
    <w:p w14:paraId="5CD55EBA" w14:textId="77777777" w:rsidR="00A163AB" w:rsidRPr="0021596F" w:rsidRDefault="00A163AB" w:rsidP="00A163AB">
      <w:r>
        <w:t>*</w:t>
      </w:r>
      <w:r>
        <w:rPr>
          <w:sz w:val="12"/>
          <w:szCs w:val="12"/>
        </w:rPr>
        <w:t>Error relativo entre el esfuerzo global calculado con ATC y la formulación de Hardy</w:t>
      </w:r>
      <w:r>
        <w:rPr>
          <w:sz w:val="14"/>
          <w:szCs w:val="14"/>
        </w:rPr>
        <w:t>.</w:t>
      </w:r>
    </w:p>
    <w:p w14:paraId="68AF715F" w14:textId="01AD114C" w:rsidR="00FE1A8E" w:rsidRPr="0021596F" w:rsidRDefault="00FE1A8E"/>
    <w:p w14:paraId="05CE66E8" w14:textId="10656464" w:rsidR="00FE1A8E" w:rsidRDefault="00084A57">
      <w:r>
        <w:t xml:space="preserve">Se verificó la independencia del mallado con el propósito de obtener un valor de convergencia de la </w:t>
      </w:r>
      <w:r w:rsidR="00892AB9">
        <w:rPr>
          <w:noProof/>
        </w:rPr>
        <w:lastRenderedPageBreak/>
        <mc:AlternateContent>
          <mc:Choice Requires="wps">
            <w:drawing>
              <wp:anchor distT="45720" distB="45720" distL="114300" distR="114300" simplePos="0" relativeHeight="19" behindDoc="1" locked="0" layoutInCell="1" allowOverlap="1" wp14:anchorId="70312D6E" wp14:editId="3E168329">
                <wp:simplePos x="0" y="0"/>
                <wp:positionH relativeFrom="column">
                  <wp:posOffset>-166139</wp:posOffset>
                </wp:positionH>
                <wp:positionV relativeFrom="paragraph">
                  <wp:posOffset>461</wp:posOffset>
                </wp:positionV>
                <wp:extent cx="3000375" cy="5821680"/>
                <wp:effectExtent l="0" t="0" r="9525" b="7620"/>
                <wp:wrapTight wrapText="bothSides">
                  <wp:wrapPolygon edited="0">
                    <wp:start x="0" y="0"/>
                    <wp:lineTo x="0" y="21558"/>
                    <wp:lineTo x="21531" y="21558"/>
                    <wp:lineTo x="21531" y="0"/>
                    <wp:lineTo x="0" y="0"/>
                  </wp:wrapPolygon>
                </wp:wrapTight>
                <wp:docPr id="35" name="Text Box 2"/>
                <wp:cNvGraphicFramePr/>
                <a:graphic xmlns:a="http://schemas.openxmlformats.org/drawingml/2006/main">
                  <a:graphicData uri="http://schemas.microsoft.com/office/word/2010/wordprocessingShape">
                    <wps:wsp>
                      <wps:cNvSpPr/>
                      <wps:spPr>
                        <a:xfrm>
                          <a:off x="0" y="0"/>
                          <a:ext cx="3000375" cy="582168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tbl>
                            <w:tblPr>
                              <w:tblStyle w:val="Tablaconcuadrcula"/>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tblGrid>
                            <w:tr w:rsidR="00FE1A8E" w14:paraId="727B35DB" w14:textId="77777777" w:rsidTr="00541FF5">
                              <w:tc>
                                <w:tcPr>
                                  <w:tcW w:w="4106" w:type="dxa"/>
                                </w:tcPr>
                                <w:p w14:paraId="6FE9AC13" w14:textId="77777777" w:rsidR="00FE1A8E" w:rsidRDefault="00084A57">
                                  <w:pPr>
                                    <w:pStyle w:val="Descripcin"/>
                                    <w:jc w:val="left"/>
                                    <w:rPr>
                                      <w:b/>
                                    </w:rPr>
                                  </w:pPr>
                                  <w:r>
                                    <w:rPr>
                                      <w:noProof/>
                                    </w:rPr>
                                    <w:drawing>
                                      <wp:inline distT="0" distB="0" distL="0" distR="0" wp14:anchorId="379884E3" wp14:editId="2AB43B1E">
                                        <wp:extent cx="2470150" cy="1646145"/>
                                        <wp:effectExtent l="0" t="0" r="6350" b="0"/>
                                        <wp:docPr id="20"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95"/>
                                                <pic:cNvPicPr>
                                                  <a:picLocks noChangeAspect="1" noChangeArrowheads="1"/>
                                                </pic:cNvPicPr>
                                              </pic:nvPicPr>
                                              <pic:blipFill>
                                                <a:blip r:embed="rId24"/>
                                                <a:stretch>
                                                  <a:fillRect/>
                                                </a:stretch>
                                              </pic:blipFill>
                                              <pic:spPr bwMode="auto">
                                                <a:xfrm>
                                                  <a:off x="0" y="0"/>
                                                  <a:ext cx="2473699" cy="1648510"/>
                                                </a:xfrm>
                                                <a:prstGeom prst="rect">
                                                  <a:avLst/>
                                                </a:prstGeom>
                                              </pic:spPr>
                                            </pic:pic>
                                          </a:graphicData>
                                        </a:graphic>
                                      </wp:inline>
                                    </w:drawing>
                                  </w:r>
                                </w:p>
                              </w:tc>
                            </w:tr>
                            <w:tr w:rsidR="00FE1A8E" w14:paraId="2BF7917C" w14:textId="77777777" w:rsidTr="00541FF5">
                              <w:tc>
                                <w:tcPr>
                                  <w:tcW w:w="4106" w:type="dxa"/>
                                </w:tcPr>
                                <w:p w14:paraId="7BCE148E" w14:textId="7593CB7A" w:rsidR="00FE1A8E" w:rsidRDefault="009D2551">
                                  <w:pPr>
                                    <w:pStyle w:val="Descripcin"/>
                                    <w:jc w:val="left"/>
                                    <w:rPr>
                                      <w:b/>
                                    </w:rPr>
                                  </w:pPr>
                                  <w:r>
                                    <w:rPr>
                                      <w:noProof/>
                                    </w:rPr>
                                    <w:drawing>
                                      <wp:inline distT="0" distB="0" distL="0" distR="0" wp14:anchorId="66780568" wp14:editId="1EBFABA8">
                                        <wp:extent cx="2412000" cy="160818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2000" cy="1608182"/>
                                                </a:xfrm>
                                                <a:prstGeom prst="rect">
                                                  <a:avLst/>
                                                </a:prstGeom>
                                                <a:noFill/>
                                                <a:ln>
                                                  <a:noFill/>
                                                </a:ln>
                                              </pic:spPr>
                                            </pic:pic>
                                          </a:graphicData>
                                        </a:graphic>
                                      </wp:inline>
                                    </w:drawing>
                                  </w:r>
                                </w:p>
                              </w:tc>
                            </w:tr>
                            <w:tr w:rsidR="00FE1A8E" w14:paraId="1805C00A" w14:textId="77777777" w:rsidTr="00541FF5">
                              <w:tc>
                                <w:tcPr>
                                  <w:tcW w:w="4106" w:type="dxa"/>
                                </w:tcPr>
                                <w:p w14:paraId="53950C4D" w14:textId="7E4C1305" w:rsidR="00FE1A8E" w:rsidRDefault="003C0A62">
                                  <w:pPr>
                                    <w:pStyle w:val="Descripcin"/>
                                    <w:jc w:val="left"/>
                                  </w:pPr>
                                  <w:r>
                                    <w:rPr>
                                      <w:noProof/>
                                    </w:rPr>
                                    <w:drawing>
                                      <wp:inline distT="0" distB="0" distL="0" distR="0" wp14:anchorId="7B01767C" wp14:editId="097A217C">
                                        <wp:extent cx="2411444" cy="160782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5304" cy="1610393"/>
                                                </a:xfrm>
                                                <a:prstGeom prst="rect">
                                                  <a:avLst/>
                                                </a:prstGeom>
                                                <a:noFill/>
                                                <a:ln>
                                                  <a:noFill/>
                                                </a:ln>
                                              </pic:spPr>
                                            </pic:pic>
                                          </a:graphicData>
                                        </a:graphic>
                                      </wp:inline>
                                    </w:drawing>
                                  </w:r>
                                </w:p>
                              </w:tc>
                            </w:tr>
                          </w:tbl>
                          <w:p w14:paraId="2FA4FFD9" w14:textId="21C7AADD" w:rsidR="00FE1A8E" w:rsidRDefault="00084A57">
                            <w:pPr>
                              <w:pStyle w:val="Descripcin"/>
                              <w:rPr>
                                <w:sz w:val="18"/>
                                <w:szCs w:val="16"/>
                              </w:rPr>
                            </w:pPr>
                            <w:r>
                              <w:rPr>
                                <w:b/>
                                <w:bCs/>
                                <w:color w:val="000000"/>
                                <w:sz w:val="18"/>
                                <w:szCs w:val="16"/>
                              </w:rPr>
                              <w:t xml:space="preserve">Figura </w:t>
                            </w:r>
                            <w:r w:rsidR="00FA29EA">
                              <w:rPr>
                                <w:b/>
                                <w:bCs/>
                                <w:color w:val="000000"/>
                                <w:sz w:val="18"/>
                                <w:szCs w:val="16"/>
                              </w:rPr>
                              <w:t>6</w:t>
                            </w:r>
                            <w:r>
                              <w:rPr>
                                <w:color w:val="000000"/>
                                <w:sz w:val="18"/>
                                <w:szCs w:val="16"/>
                              </w:rPr>
                              <w:t>. Independencia del mallado con el esfuerzo global calculado con ATC.</w:t>
                            </w:r>
                            <w:r w:rsidR="009E3FAE">
                              <w:rPr>
                                <w:color w:val="000000"/>
                                <w:sz w:val="18"/>
                                <w:szCs w:val="1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0312D6E" id="_x0000_s1031" style="position:absolute;left:0;text-align:left;margin-left:-13.1pt;margin-top:.05pt;width:236.25pt;height:458.4pt;z-index:-503316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" stroked="f" strokeweight=".26mm">
                <v:textbox>
                  <w:txbxContent>
                    <w:tbl>
                      <w:tblPr>
                        <w:tblStyle w:val="Tablaconcuadrcula"/>
                        <w:tblW w:w="4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tblGrid>
                      <w:tr w:rsidR="00FE1A8E" w14:paraId="727B35DB" w14:textId="77777777" w:rsidTr="00541FF5">
                        <w:tc>
                          <w:tcPr>
                            <w:tcW w:w="4106" w:type="dxa"/>
                          </w:tcPr>
                          <w:p w14:paraId="6FE9AC13" w14:textId="77777777" w:rsidR="00FE1A8E" w:rsidRDefault="00084A57">
                            <w:pPr>
                              <w:pStyle w:val="Descripcin"/>
                              <w:jc w:val="left"/>
                              <w:rPr>
                                <w:b/>
                              </w:rPr>
                            </w:pPr>
                            <w:r>
                              <w:rPr>
                                <w:noProof/>
                              </w:rPr>
                              <w:drawing>
                                <wp:inline distT="0" distB="0" distL="0" distR="0" wp14:anchorId="379884E3" wp14:editId="2AB43B1E">
                                  <wp:extent cx="2470150" cy="1646145"/>
                                  <wp:effectExtent l="0" t="0" r="6350" b="0"/>
                                  <wp:docPr id="20"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95"/>
                                          <pic:cNvPicPr>
                                            <a:picLocks noChangeAspect="1" noChangeArrowheads="1"/>
                                          </pic:cNvPicPr>
                                        </pic:nvPicPr>
                                        <pic:blipFill>
                                          <a:blip r:embed="rId24"/>
                                          <a:stretch>
                                            <a:fillRect/>
                                          </a:stretch>
                                        </pic:blipFill>
                                        <pic:spPr bwMode="auto">
                                          <a:xfrm>
                                            <a:off x="0" y="0"/>
                                            <a:ext cx="2473699" cy="1648510"/>
                                          </a:xfrm>
                                          <a:prstGeom prst="rect">
                                            <a:avLst/>
                                          </a:prstGeom>
                                        </pic:spPr>
                                      </pic:pic>
                                    </a:graphicData>
                                  </a:graphic>
                                </wp:inline>
                              </w:drawing>
                            </w:r>
                          </w:p>
                        </w:tc>
                      </w:tr>
                      <w:tr w:rsidR="00FE1A8E" w14:paraId="2BF7917C" w14:textId="77777777" w:rsidTr="00541FF5">
                        <w:tc>
                          <w:tcPr>
                            <w:tcW w:w="4106" w:type="dxa"/>
                          </w:tcPr>
                          <w:p w14:paraId="7BCE148E" w14:textId="7593CB7A" w:rsidR="00FE1A8E" w:rsidRDefault="009D2551">
                            <w:pPr>
                              <w:pStyle w:val="Descripcin"/>
                              <w:jc w:val="left"/>
                              <w:rPr>
                                <w:b/>
                              </w:rPr>
                            </w:pPr>
                            <w:r>
                              <w:rPr>
                                <w:noProof/>
                              </w:rPr>
                              <w:drawing>
                                <wp:inline distT="0" distB="0" distL="0" distR="0" wp14:anchorId="66780568" wp14:editId="1EBFABA8">
                                  <wp:extent cx="2412000" cy="160818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2000" cy="1608182"/>
                                          </a:xfrm>
                                          <a:prstGeom prst="rect">
                                            <a:avLst/>
                                          </a:prstGeom>
                                          <a:noFill/>
                                          <a:ln>
                                            <a:noFill/>
                                          </a:ln>
                                        </pic:spPr>
                                      </pic:pic>
                                    </a:graphicData>
                                  </a:graphic>
                                </wp:inline>
                              </w:drawing>
                            </w:r>
                          </w:p>
                        </w:tc>
                      </w:tr>
                      <w:tr w:rsidR="00FE1A8E" w14:paraId="1805C00A" w14:textId="77777777" w:rsidTr="00541FF5">
                        <w:tc>
                          <w:tcPr>
                            <w:tcW w:w="4106" w:type="dxa"/>
                          </w:tcPr>
                          <w:p w14:paraId="53950C4D" w14:textId="7E4C1305" w:rsidR="00FE1A8E" w:rsidRDefault="003C0A62">
                            <w:pPr>
                              <w:pStyle w:val="Descripcin"/>
                              <w:jc w:val="left"/>
                            </w:pPr>
                            <w:r>
                              <w:rPr>
                                <w:noProof/>
                              </w:rPr>
                              <w:drawing>
                                <wp:inline distT="0" distB="0" distL="0" distR="0" wp14:anchorId="7B01767C" wp14:editId="097A217C">
                                  <wp:extent cx="2411444" cy="160782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5304" cy="1610393"/>
                                          </a:xfrm>
                                          <a:prstGeom prst="rect">
                                            <a:avLst/>
                                          </a:prstGeom>
                                          <a:noFill/>
                                          <a:ln>
                                            <a:noFill/>
                                          </a:ln>
                                        </pic:spPr>
                                      </pic:pic>
                                    </a:graphicData>
                                  </a:graphic>
                                </wp:inline>
                              </w:drawing>
                            </w:r>
                          </w:p>
                        </w:tc>
                      </w:tr>
                    </w:tbl>
                    <w:p w14:paraId="2FA4FFD9" w14:textId="21C7AADD" w:rsidR="00FE1A8E" w:rsidRDefault="00084A57">
                      <w:pPr>
                        <w:pStyle w:val="Descripcin"/>
                        <w:rPr>
                          <w:sz w:val="18"/>
                          <w:szCs w:val="16"/>
                        </w:rPr>
                      </w:pPr>
                      <w:r>
                        <w:rPr>
                          <w:b/>
                          <w:bCs/>
                          <w:color w:val="000000"/>
                          <w:sz w:val="18"/>
                          <w:szCs w:val="16"/>
                        </w:rPr>
                        <w:t xml:space="preserve">Figura </w:t>
                      </w:r>
                      <w:r w:rsidR="00FA29EA">
                        <w:rPr>
                          <w:b/>
                          <w:bCs/>
                          <w:color w:val="000000"/>
                          <w:sz w:val="18"/>
                          <w:szCs w:val="16"/>
                        </w:rPr>
                        <w:t>6</w:t>
                      </w:r>
                      <w:r>
                        <w:rPr>
                          <w:color w:val="000000"/>
                          <w:sz w:val="18"/>
                          <w:szCs w:val="16"/>
                        </w:rPr>
                        <w:t>. Independencia del mallado con el esfuerzo global calculado con ATC.</w:t>
                      </w:r>
                      <w:r w:rsidR="009E3FAE">
                        <w:rPr>
                          <w:color w:val="000000"/>
                          <w:sz w:val="18"/>
                          <w:szCs w:val="16"/>
                        </w:rPr>
                        <w:t xml:space="preserve"> </w:t>
                      </w:r>
                    </w:p>
                  </w:txbxContent>
                </v:textbox>
                <w10:wrap type="tight"/>
              </v:rect>
            </w:pict>
          </mc:Fallback>
        </mc:AlternateContent>
      </w:r>
      <w:r>
        <w:t>resistencia última a la tensión. Para esto se refinó la malla conservando el radio de la función de localización en los diferentes tamaños de grano. En la Figura 6. se puede observar que el valor del esfuerzo global converge a 6.67 GPA para el cristal de 8 nm y el error máximo que se evidencia es de 3.44%</w:t>
      </w:r>
      <w:r w:rsidR="003C0A62">
        <w:t xml:space="preserve"> con la malla gruesa</w:t>
      </w:r>
      <w:r>
        <w:t xml:space="preserve">. Por otro lado, para el cristal de 16 nm el esfuerzo global converge a </w:t>
      </w:r>
      <w:r w:rsidR="000549DC">
        <w:t>6.</w:t>
      </w:r>
      <w:r w:rsidR="00892AB9">
        <w:t>39</w:t>
      </w:r>
      <w:r>
        <w:t xml:space="preserve"> GPA con un error máximo de </w:t>
      </w:r>
      <w:r w:rsidR="00892AB9">
        <w:t>9</w:t>
      </w:r>
      <w:r w:rsidR="000549DC">
        <w:t>.</w:t>
      </w:r>
      <w:r w:rsidR="00892AB9">
        <w:t>54</w:t>
      </w:r>
      <w:r>
        <w:t xml:space="preserve"> % y el del cristal de 24 nm converge a </w:t>
      </w:r>
      <w:r w:rsidR="00BA643A">
        <w:rPr>
          <w:noProof/>
          <w:lang w:val="en-US"/>
        </w:rPr>
        <mc:AlternateContent>
          <mc:Choice Requires="wps">
            <w:drawing>
              <wp:anchor distT="45720" distB="45720" distL="114300" distR="114300" simplePos="0" relativeHeight="10" behindDoc="1" locked="0" layoutInCell="1" allowOverlap="1" wp14:anchorId="43313E53" wp14:editId="2958759D">
                <wp:simplePos x="0" y="0"/>
                <wp:positionH relativeFrom="column">
                  <wp:posOffset>2966720</wp:posOffset>
                </wp:positionH>
                <wp:positionV relativeFrom="paragraph">
                  <wp:posOffset>5771169</wp:posOffset>
                </wp:positionV>
                <wp:extent cx="2867025" cy="2553970"/>
                <wp:effectExtent l="0" t="0" r="0" b="0"/>
                <wp:wrapTight wrapText="bothSides">
                  <wp:wrapPolygon edited="0">
                    <wp:start x="0" y="0"/>
                    <wp:lineTo x="0" y="21439"/>
                    <wp:lineTo x="21394" y="21439"/>
                    <wp:lineTo x="21394" y="0"/>
                    <wp:lineTo x="0" y="0"/>
                  </wp:wrapPolygon>
                </wp:wrapTight>
                <wp:docPr id="45" name="Text Box 2"/>
                <wp:cNvGraphicFramePr/>
                <a:graphic xmlns:a="http://schemas.openxmlformats.org/drawingml/2006/main">
                  <a:graphicData uri="http://schemas.microsoft.com/office/word/2010/wordprocessingShape">
                    <wps:wsp>
                      <wps:cNvSpPr/>
                      <wps:spPr>
                        <a:xfrm>
                          <a:off x="0" y="0"/>
                          <a:ext cx="2867025" cy="255397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088A0407" w14:textId="3C320D67" w:rsidR="00FE1A8E" w:rsidRDefault="009D2551">
                            <w:pPr>
                              <w:pStyle w:val="Descripcin"/>
                              <w:jc w:val="left"/>
                              <w:rPr>
                                <w:b/>
                              </w:rPr>
                            </w:pPr>
                            <w:r>
                              <w:rPr>
                                <w:noProof/>
                              </w:rPr>
                              <w:drawing>
                                <wp:inline distT="0" distB="0" distL="0" distR="0" wp14:anchorId="6738FFC8" wp14:editId="06C653B6">
                                  <wp:extent cx="2675255" cy="1783503"/>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5255" cy="1783503"/>
                                          </a:xfrm>
                                          <a:prstGeom prst="rect">
                                            <a:avLst/>
                                          </a:prstGeom>
                                          <a:noFill/>
                                          <a:ln>
                                            <a:noFill/>
                                          </a:ln>
                                        </pic:spPr>
                                      </pic:pic>
                                    </a:graphicData>
                                  </a:graphic>
                                </wp:inline>
                              </w:drawing>
                            </w:r>
                          </w:p>
                          <w:p w14:paraId="31C9373E" w14:textId="100C641F" w:rsidR="00FE1A8E" w:rsidRDefault="00084A57">
                            <w:pPr>
                              <w:pStyle w:val="Descripcin"/>
                              <w:rPr>
                                <w:sz w:val="18"/>
                                <w:szCs w:val="16"/>
                              </w:rPr>
                            </w:pPr>
                            <w:r>
                              <w:rPr>
                                <w:b/>
                                <w:bCs/>
                                <w:color w:val="000000"/>
                                <w:sz w:val="18"/>
                                <w:szCs w:val="16"/>
                              </w:rPr>
                              <w:t xml:space="preserve">Figura </w:t>
                            </w:r>
                            <w:r w:rsidR="00FA29EA">
                              <w:rPr>
                                <w:b/>
                                <w:bCs/>
                                <w:color w:val="000000"/>
                                <w:sz w:val="18"/>
                                <w:szCs w:val="16"/>
                              </w:rPr>
                              <w:t>7</w:t>
                            </w:r>
                            <w:r>
                              <w:rPr>
                                <w:color w:val="000000"/>
                                <w:sz w:val="18"/>
                                <w:szCs w:val="16"/>
                              </w:rPr>
                              <w:t xml:space="preserve">. Comparación de la resistencia última a la tensión de monocristal fisurado con el método de Hardy y con ATC para tres tamaños de grano. </w:t>
                            </w:r>
                          </w:p>
                        </w:txbxContent>
                      </wps:txbx>
                      <wps:bodyPr>
                        <a:noAutofit/>
                      </wps:bodyPr>
                    </wps:wsp>
                  </a:graphicData>
                </a:graphic>
              </wp:anchor>
            </w:drawing>
          </mc:Choice>
          <mc:Fallback>
            <w:pict>
              <v:rect w14:anchorId="43313E53" id="_x0000_s1032" style="position:absolute;left:0;text-align:left;margin-left:233.6pt;margin-top:454.4pt;width:225.75pt;height:201.1pt;z-index:-5033164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" stroked="f" strokeweight=".26mm">
                <v:textbox>
                  <w:txbxContent>
                    <w:p w14:paraId="088A0407" w14:textId="3C320D67" w:rsidR="00FE1A8E" w:rsidRDefault="009D2551">
                      <w:pPr>
                        <w:pStyle w:val="Descripcin"/>
                        <w:jc w:val="left"/>
                        <w:rPr>
                          <w:b/>
                        </w:rPr>
                      </w:pPr>
                      <w:r>
                        <w:rPr>
                          <w:noProof/>
                        </w:rPr>
                        <w:drawing>
                          <wp:inline distT="0" distB="0" distL="0" distR="0" wp14:anchorId="6738FFC8" wp14:editId="06C653B6">
                            <wp:extent cx="2675255" cy="1783503"/>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5255" cy="1783503"/>
                                    </a:xfrm>
                                    <a:prstGeom prst="rect">
                                      <a:avLst/>
                                    </a:prstGeom>
                                    <a:noFill/>
                                    <a:ln>
                                      <a:noFill/>
                                    </a:ln>
                                  </pic:spPr>
                                </pic:pic>
                              </a:graphicData>
                            </a:graphic>
                          </wp:inline>
                        </w:drawing>
                      </w:r>
                    </w:p>
                    <w:p w14:paraId="31C9373E" w14:textId="100C641F" w:rsidR="00FE1A8E" w:rsidRDefault="00084A57">
                      <w:pPr>
                        <w:pStyle w:val="Descripcin"/>
                        <w:rPr>
                          <w:sz w:val="18"/>
                          <w:szCs w:val="16"/>
                        </w:rPr>
                      </w:pPr>
                      <w:r>
                        <w:rPr>
                          <w:b/>
                          <w:bCs/>
                          <w:color w:val="000000"/>
                          <w:sz w:val="18"/>
                          <w:szCs w:val="16"/>
                        </w:rPr>
                        <w:t xml:space="preserve">Figura </w:t>
                      </w:r>
                      <w:r w:rsidR="00FA29EA">
                        <w:rPr>
                          <w:b/>
                          <w:bCs/>
                          <w:color w:val="000000"/>
                          <w:sz w:val="18"/>
                          <w:szCs w:val="16"/>
                        </w:rPr>
                        <w:t>7</w:t>
                      </w:r>
                      <w:r>
                        <w:rPr>
                          <w:color w:val="000000"/>
                          <w:sz w:val="18"/>
                          <w:szCs w:val="16"/>
                        </w:rPr>
                        <w:t xml:space="preserve">. Comparación de la resistencia última a la tensión de monocristal fisurado con el método de Hardy y con ATC para tres tamaños de grano. </w:t>
                      </w:r>
                    </w:p>
                  </w:txbxContent>
                </v:textbox>
                <w10:wrap type="tight"/>
              </v:rect>
            </w:pict>
          </mc:Fallback>
        </mc:AlternateContent>
      </w:r>
      <w:r w:rsidR="003C0A62">
        <w:t>7.9</w:t>
      </w:r>
      <w:r>
        <w:t xml:space="preserve"> GPa con un error de </w:t>
      </w:r>
      <w:r w:rsidR="003C0A62">
        <w:t>11</w:t>
      </w:r>
      <w:r>
        <w:t>%.</w:t>
      </w:r>
    </w:p>
    <w:p w14:paraId="46501AC8" w14:textId="77777777" w:rsidR="00C56BFF" w:rsidRPr="0021596F" w:rsidRDefault="00C56BFF"/>
    <w:p w14:paraId="5A4E89BA" w14:textId="77777777" w:rsidR="00FE1A8E" w:rsidRPr="0021596F" w:rsidRDefault="00084A57">
      <w:pPr>
        <w:pStyle w:val="Ttulo2"/>
        <w:numPr>
          <w:ilvl w:val="1"/>
          <w:numId w:val="2"/>
        </w:numPr>
      </w:pPr>
      <w:r>
        <w:t>Efecto del tamaño de grano en la resistencia última del cristal fisurado</w:t>
      </w:r>
    </w:p>
    <w:p w14:paraId="12068E4C" w14:textId="00F93F43" w:rsidR="00FE1A8E" w:rsidRPr="0021596F" w:rsidRDefault="00FE1A8E"/>
    <w:p w14:paraId="5B418060" w14:textId="6F905829" w:rsidR="00FE1A8E" w:rsidRDefault="00084A57">
      <w:r>
        <w:t xml:space="preserve">En la Figura </w:t>
      </w:r>
      <w:r w:rsidR="00FA29EA">
        <w:t>7</w:t>
      </w:r>
      <w:r>
        <w:t xml:space="preserve"> se puede observar que existe una diferencia entre la resistencia última a la tensión calculada con la formulación de Hardy y la calculada </w:t>
      </w:r>
      <w:r>
        <w:t>con el método “</w:t>
      </w:r>
      <w:proofErr w:type="spellStart"/>
      <w:r>
        <w:t>Atom</w:t>
      </w:r>
      <w:proofErr w:type="spellEnd"/>
      <w:r>
        <w:t>-</w:t>
      </w:r>
      <w:proofErr w:type="spellStart"/>
      <w:r>
        <w:t>to</w:t>
      </w:r>
      <w:proofErr w:type="spellEnd"/>
      <w:r>
        <w:t xml:space="preserve">-continuum” para los 3 tamaños de granos seleccionados. Sin embargo, se puede ver que </w:t>
      </w:r>
      <w:r w:rsidR="00BA643A">
        <w:t>tanto para Hardy como ATC</w:t>
      </w:r>
      <w:r>
        <w:t xml:space="preserve"> la resistencia exhibe independencia al tamaño de grano para los diferentes monocristales con fisura inicial. Hallazgos similares en la independencia de la resistencia del tamaño de grano han sido detallados en otras investigaciones como en </w:t>
      </w:r>
      <w:r>
        <w:fldChar w:fldCharType="begin" w:fldLock="1"/>
      </w:r>
      <w:r w:rsidR="00E71688">
        <w:instrText>ADDIN CSL_CITATION {"citationItems":[{"id":"ITEM-1","itemData":{"DOI":"10.1016/j.msea.2017.03.065","ISSN":"09215093","abstract":"The effect of grain size on the elastic mechanical properties of nanocrystalline pure metal Al is quantified by molecular dynamics simulation method. In this work, the largest nanocrystalline Al sample has a mean grain size of 29.6 nm and contains over 100 millions atoms in the modeling system. The simulation results show that the elastic properties including elastic modulus and ultimate tensile strength of nanocrystalline Al are relatively insensitive to the variation of mean grain size above 13 nm yet they become distinctly grain size dependent below 13 nm. Moreover, at a grain size &lt;13 nm, the elastic modulus decreases monotonically with decreasing grain size while the ultimate tensile strength of nanocrystalline Al initially decreases with the decrease of the grain size down to 9 nm and then increases with further reduction of grain size. The increase of ultimate tensile strength below 9 nm is believed to be a result of an extended elasticity in the ultrafine grain size nanocrystalline Al. This study can facilitate the prediction of varied mechanical properties for similar nanocrystalline materials and even guide testing and fabrication schemes of such materials.","author":[{"dropping-particle":"","family":"Xu","given":"Wenwu","non-dropping-particle":"","parse-names":false,"suffix":""},{"dropping-particle":"","family":"Dávila","given":"Lilian P.","non-dropping-particle":"","parse-names":false,"suffix":""}],"container-title":"Materials Science and Engineering A","id":"ITEM-1","issue":"March","issued":{"date-parts":[["2017"]]},"page":"90-94","publisher":"Elsevier B.V.","title":"Size dependence of elastic mechanical properties of nanocrystalline aluminum","type":"article-journal","volume":"692"},"uris":["http://www.mendeley.com/documents/?uuid=babe7fc3-7fd7-47c5-a22d-a75a546a6172"]}],"mendeley":{"formattedCitation":"[41]","plainTextFormattedCitation":"[41]","previouslyFormattedCitation":"[40]"},"properties":{"noteIndex":0},"schema":"https://github.com/citation-style-language/schema/raw/master/csl-citation.json"}</w:instrText>
      </w:r>
      <w:r>
        <w:fldChar w:fldCharType="separate"/>
      </w:r>
      <w:r w:rsidR="00E71688" w:rsidRPr="00E71688">
        <w:rPr>
          <w:noProof/>
        </w:rPr>
        <w:t>[41]</w:t>
      </w:r>
      <w:r>
        <w:fldChar w:fldCharType="end"/>
      </w:r>
      <w:r>
        <w:t xml:space="preserve">. Los autores demostraron que para monocristales de Aluminio </w:t>
      </w:r>
      <w:r w:rsidR="00BA643A">
        <w:t xml:space="preserve">perfectos </w:t>
      </w:r>
      <w:r>
        <w:t xml:space="preserve">con un tamaño de grano </w:t>
      </w:r>
      <w:r w:rsidR="00BA643A">
        <w:t>entre</w:t>
      </w:r>
      <w:r>
        <w:t xml:space="preserve"> 0 a 30 nm su resistencia a la tensión no varía significativamente. En la presente investigación </w:t>
      </w:r>
      <w:r w:rsidR="003A6B8C">
        <w:t xml:space="preserve">se </w:t>
      </w:r>
      <w:r w:rsidR="00E77DDC">
        <w:t>relaciona</w:t>
      </w:r>
      <w:r w:rsidR="003A6B8C">
        <w:t xml:space="preserve"> </w:t>
      </w:r>
      <w:r>
        <w:t xml:space="preserve">que las diferencias con </w:t>
      </w:r>
      <w:r>
        <w:fldChar w:fldCharType="begin" w:fldLock="1"/>
      </w:r>
      <w:r w:rsidR="00E71688">
        <w:instrText>ADDIN CSL_CITATION {"citationItems":[{"id":"ITEM-1","itemData":{"DOI":"10.1016/j.msea.2017.03.065","ISSN":"09215093","abstract":"The effect of grain size on the elastic mechanical properties of nanocrystalline pure metal Al is quantified by molecular dynamics simulation method. In this work, the largest nanocrystalline Al sample has a mean grain size of 29.6 nm and contains over 100 millions atoms in the modeling system. The simulation results show that the elastic properties including elastic modulus and ultimate tensile strength of nanocrystalline Al are relatively insensitive to the variation of mean grain size above 13 nm yet they become distinctly grain size dependent below 13 nm. Moreover, at a grain size &lt;13 nm, the elastic modulus decreases monotonically with decreasing grain size while the ultimate tensile strength of nanocrystalline Al initially decreases with the decrease of the grain size down to 9 nm and then increases with further reduction of grain size. The increase of ultimate tensile strength below 9 nm is believed to be a result of an extended elasticity in the ultrafine grain size nanocrystalline Al. This study can facilitate the prediction of varied mechanical properties for similar nanocrystalline materials and even guide testing and fabrication schemes of such materials.","author":[{"dropping-particle":"","family":"Xu","given":"Wenwu","non-dropping-particle":"","parse-names":false,"suffix":""},{"dropping-particle":"","family":"Dávila","given":"Lilian P.","non-dropping-particle":"","parse-names":false,"suffix":""}],"container-title":"Materials Science and Engineering A","id":"ITEM-1","issue":"March","issued":{"date-parts":[["2017"]]},"page":"90-94","publisher":"Elsevier B.V.","title":"Size dependence of elastic mechanical properties of nanocrystalline aluminum","type":"article-journal","volume":"692"},"uris":["http://www.mendeley.com/documents/?uuid=babe7fc3-7fd7-47c5-a22d-a75a546a6172"]}],"mendeley":{"formattedCitation":"[41]","plainTextFormattedCitation":"[41]","previouslyFormattedCitation":"[40]"},"properties":{"noteIndex":0},"schema":"https://github.com/citation-style-language/schema/raw/master/csl-citation.json"}</w:instrText>
      </w:r>
      <w:r>
        <w:fldChar w:fldCharType="separate"/>
      </w:r>
      <w:r w:rsidR="00E71688" w:rsidRPr="00E71688">
        <w:rPr>
          <w:noProof/>
        </w:rPr>
        <w:t>[41]</w:t>
      </w:r>
      <w:r>
        <w:fldChar w:fldCharType="end"/>
      </w:r>
      <w:r>
        <w:t xml:space="preserve"> pueden ser ocasionadas principalmente por la presencia de </w:t>
      </w:r>
      <w:r w:rsidR="003A6B8C">
        <w:t>la</w:t>
      </w:r>
      <w:r>
        <w:t xml:space="preserve"> fisura de borde en los monocristales, el potencial interatómico que causa diferencias significativas en los valores obtenidos tal como lo demuestran en </w:t>
      </w:r>
      <w:r>
        <w:fldChar w:fldCharType="begin" w:fldLock="1"/>
      </w:r>
      <w:r w:rsidR="00E71688">
        <w:instrText>ADDIN CSL_CITATION {"citationItems":[{"id":"ITEM-1","itemData":{"DOI":"10.1080/08927022.2020.1836370","ISSN":"10290435","abstract":"The choice of a proper interatomic potential is critical to obtaining accurate and realistic molecular dynamics results. However, previous studies that have tested the suitability of a potential to predict mechanical properties often do so using elastic constants from a triaxial stress state that ignores Poisson’s effect. While this method is suitable it is not consistent with macroscale experimental methods and cannot provide the complete loading behaviour. Further, there is a lack of knowledge as to whether accuracy in predicting elastic constants from a fixed volume condition indicates accuracy for elastic moduli from uniaxial tensile simulations. Moreover, those studies that did account for Poisson’s effect studied only one crystal orientation and thus assumed potential accuracy is independent of crystal orientation. Results from the current study demonstrated that accuracy of a potential is dependent on the crystal direction. Further, the most accurate potentials for elastic constants calculated using a fixed volume condition were not necessarily the most accurate at predicting elastic moduli from a physically realisable tension test. Finally, the Voigt Reuss Hill (VRH) method was shown to accurately predict polycrystalline mechanical properties from single crystal data as a function of temperature.","author":[{"dropping-particle":"","family":"Morrissey","given":"Liam S.","non-dropping-particle":"","parse-names":false,"suffix":""},{"dropping-particle":"","family":"Nakhla","given":"Sam","non-dropping-particle":"","parse-names":false,"suffix":""}],"container-title":"Molecular Simulation","id":"ITEM-1","issue":"0","issued":{"date-parts":[["2020"]]},"page":"1-10","publisher":"Taylor &amp; Francis","title":"Considerations when calculating the mechanical properties of single crystals and bulk polycrystals from molecular dynamics simulations","type":"article-journal","volume":"0"},"uris":["http://www.mendeley.com/documents/?uuid=dc83382b-790e-42c0-99fa-3ef8c9cbbdea"]}],"mendeley":{"formattedCitation":"[42]","plainTextFormattedCitation":"[42]","previouslyFormattedCitation":"[41]"},"properties":{"noteIndex":0},"schema":"https://github.com/citation-style-language/schema/raw/master/csl-citation.json"}</w:instrText>
      </w:r>
      <w:r>
        <w:fldChar w:fldCharType="separate"/>
      </w:r>
      <w:r w:rsidR="00E71688" w:rsidRPr="00E71688">
        <w:rPr>
          <w:noProof/>
        </w:rPr>
        <w:t>[42]</w:t>
      </w:r>
      <w:r>
        <w:fldChar w:fldCharType="end"/>
      </w:r>
      <w:r>
        <w:t xml:space="preserve"> y la velocidad de deformación y la temperatura a la que es desarrollada la simulación tal como lo demuestran en </w:t>
      </w:r>
      <w:r>
        <w:fldChar w:fldCharType="begin" w:fldLock="1"/>
      </w:r>
      <w:r w:rsidR="00E71688">
        <w:instrText>ADDIN CSL_CITATION {"citationItems":[{"id":"ITEM-1","itemData":{"DOI":"10.1016/j.jmatprotec.2006.10.042","ISSN":"09240136","abstract":"In order to research the mechanisms of tensile deformation at nanometer, molecular dynamics (MD) was employed to simulate the tension process of nano-single crystal aluminum (Al) under different temperatures. The results show that the stress-strain curves decrease after a linear increase up to the maximum abruptly because the first transition from elastic to plastic deformation and the slip take place. Then the multiple slips on the (1 1 1) planes continue to occur after the yield. At last, the plastic deformation causes ductile shear fracture. Atomistic simulations of tension at nanometer give results that agree with the phenomenological attributes of plasticity observed in macroscale experiments. The lower strain rate results in the lower yield stress. The tensile strength decreases at higher temperatures. © 2006 Elsevier B.V. All rights reserved.","author":[{"dropping-particle":"","family":"Yuan","given":"Lin","non-dropping-particle":"","parse-names":false,"suffix":""},{"dropping-particle":"","family":"Shan","given":"Debin","non-dropping-particle":"","parse-names":false,"suffix":""},{"dropping-particle":"","family":"Guo","given":"Bin","non-dropping-particle":"","parse-names":false,"suffix":""}],"container-title":"Journal of Materials Processing Technology","id":"ITEM-1","issue":"1-3","issued":{"date-parts":[["2007"]]},"page":"1-5","title":"Molecular dynamics simulation of tensile deformation of nano-single crystal aluminum","type":"article-journal","volume":"184"},"uris":["http://www.mendeley.com/documents/?uuid=963abb1f-ca8e-4488-b4af-391763b0a9de"]}],"mendeley":{"formattedCitation":"[43]","plainTextFormattedCitation":"[43]","previouslyFormattedCitation":"[42]"},"properties":{"noteIndex":0},"schema":"https://github.com/citation-style-language/schema/raw/master/csl-citation.json"}</w:instrText>
      </w:r>
      <w:r>
        <w:fldChar w:fldCharType="separate"/>
      </w:r>
      <w:r w:rsidR="00E71688" w:rsidRPr="00E71688">
        <w:rPr>
          <w:noProof/>
        </w:rPr>
        <w:t>[43]</w:t>
      </w:r>
      <w:r>
        <w:fldChar w:fldCharType="end"/>
      </w:r>
      <w:r>
        <w:t>. A pesar de ser el mismo material, existen factores como los anteriormente mencionados que pueden causar</w:t>
      </w:r>
      <w:r w:rsidR="00E77DDC">
        <w:t xml:space="preserve"> </w:t>
      </w:r>
      <w:r>
        <w:t xml:space="preserve">diferencias en los valores resultantes. Sin embargo, en </w:t>
      </w:r>
      <w:r w:rsidR="00BA643A">
        <w:t>esta</w:t>
      </w:r>
      <w:r>
        <w:t xml:space="preserve"> investigación </w:t>
      </w:r>
      <w:r w:rsidR="00872186">
        <w:t>se observa</w:t>
      </w:r>
      <w:r>
        <w:t xml:space="preserve"> que las diferencias en los esfuerzos locales y globales del Aluminio hallados con Hardy y con ATC son considerablemente altas</w:t>
      </w:r>
      <w:r w:rsidR="00BA643A">
        <w:t>.</w:t>
      </w:r>
      <w:r>
        <w:t xml:space="preserve"> </w:t>
      </w:r>
      <w:r w:rsidR="00BA643A">
        <w:t>Esto</w:t>
      </w:r>
      <w:r>
        <w:t xml:space="preserve"> </w:t>
      </w:r>
      <w:r w:rsidR="00E77DDC">
        <w:t>se atribuye</w:t>
      </w:r>
      <w:r>
        <w:t xml:space="preserve"> a diferencias metodológicas en la concepción del método ATC y las simulaciones en la dinámica molecular. En </w:t>
      </w:r>
      <w:r>
        <w:fldChar w:fldCharType="begin" w:fldLock="1"/>
      </w:r>
      <w:r w:rsidR="00E71688">
        <w:instrText>ADDIN CSL_CITATION {"citationItems":[{"id":"ITEM-1","itemData":{"DOI":"10.1088/0953-8984/23/1/015002","ISSN":"09538984","abstract":"In this work we apply a material-frame, kernel-based estimator of continuum fields to atomic data in order to estimate the J-integral for the analysis of an atomically sharp crack at finite temperatures. Instead of the potential energy appropriate for zero temperature calculations, we employ the quasi-harmonic free energy as an estimator of the Helmholtz free energy required by the Eshelby stress in isothermal conditions. We employ the simplest of the quasi-harmonic models, the local harmonic model of LeSar and co-workers, and verify that it is adequate for correction of the zero temperature J-integral expression for various deformation states for our Lennard-Jones test material. We show that this method has the properties of: consistency among the energy, stress and deformation fields; path independence of the contour integrals of the Eshelby stress; and excellent correlation with linear elastic fracture mechanics theory. © 2011 IOP Publishing Ltd.","author":[{"dropping-particle":"","family":"Jones","given":"R. E.","non-dropping-particle":"","parse-names":false,"suffix":""},{"dropping-particle":"","family":"Zimmerman","given":"J. A.","non-dropping-particle":"","parse-names":false,"suffix":""},{"dropping-particle":"","family":"Oswald","given":"J.","non-dropping-particle":"","parse-names":false,"suffix":""},{"dropping-particle":"","family":"Belytschko","given":"T.","non-dropping-particle":"","parse-names":false,"suffix":""}],"container-title":"Journal of Physics Condensed Matter","id":"ITEM-1","issue":"1","issued":{"date-parts":[["2011"]]},"title":"An atomistic J-integral at finite temperature based on hardy estimates of continuum fields","type":"article-journal","volume":"23"},"uris":["http://www.mendeley.com/documents/?uuid=86333525-1265-4a4a-9ace-b53eb5acedaf"]}],"mendeley":{"formattedCitation":"[34]","plainTextFormattedCitation":"[34]","previouslyFormattedCitation":"[33]"},"properties":{"noteIndex":0},"schema":"https://github.com/citation-style-language/schema/raw/master/csl-citation.json"}</w:instrText>
      </w:r>
      <w:r>
        <w:fldChar w:fldCharType="separate"/>
      </w:r>
      <w:r w:rsidR="00E71688" w:rsidRPr="00E71688">
        <w:rPr>
          <w:noProof/>
        </w:rPr>
        <w:t>[34]</w:t>
      </w:r>
      <w:r>
        <w:fldChar w:fldCharType="end"/>
      </w:r>
      <w:r>
        <w:t xml:space="preserve"> los autores explican que la creación de fisuras la hacen eliminando las fuerzas interatómicas entre 2 planos de átomos para que bajo la carga de deformación se cree la fisura. Mientras, en la presente investigación no se eliminan estas interacciones entre los átomos. Por el contrario, se elimina un volumen de átomos para crear la fisura de borde inicial antes de emplear cualquier carga sobre el cristal. Además, </w:t>
      </w:r>
      <w:r w:rsidR="00872186">
        <w:t>se observa</w:t>
      </w:r>
      <w:r>
        <w:t xml:space="preserve"> que las deformaciones aplicadas y </w:t>
      </w:r>
      <w:proofErr w:type="spellStart"/>
      <w:r>
        <w:t>postprocesadas</w:t>
      </w:r>
      <w:proofErr w:type="spellEnd"/>
      <w:r>
        <w:t xml:space="preserve"> con ATC preservan la estructura cristalográfica en los átomos del material y provocan desplazamientos uniformes en los átomos del </w:t>
      </w:r>
      <w:r>
        <w:lastRenderedPageBreak/>
        <w:t xml:space="preserve">cristal. Mientras en la presente investigación, las simulaciones de dinámica molecular deforman el cristal sin preservar las condiciones uniformes </w:t>
      </w:r>
      <w:r w:rsidR="00872186">
        <w:t xml:space="preserve">en el desplazamiento </w:t>
      </w:r>
      <w:r>
        <w:t>de los átomos.</w:t>
      </w:r>
    </w:p>
    <w:p w14:paraId="252DFA2A" w14:textId="7FB57102" w:rsidR="00FE2233" w:rsidRPr="0021596F" w:rsidRDefault="00FE2233"/>
    <w:p w14:paraId="7AE6D13E" w14:textId="77777777" w:rsidR="00FE1A8E" w:rsidRDefault="00084A57">
      <w:pPr>
        <w:pStyle w:val="Ttulo1"/>
        <w:numPr>
          <w:ilvl w:val="0"/>
          <w:numId w:val="2"/>
        </w:numPr>
        <w:rPr>
          <w:lang w:val="en-US"/>
        </w:rPr>
      </w:pPr>
      <w:r>
        <w:t>Conclusiones</w:t>
      </w:r>
    </w:p>
    <w:p w14:paraId="03F626B9" w14:textId="77777777" w:rsidR="00FE1A8E" w:rsidRDefault="00FE1A8E">
      <w:pPr>
        <w:rPr>
          <w:lang w:val="en-US"/>
        </w:rPr>
      </w:pPr>
    </w:p>
    <w:p w14:paraId="1538299A" w14:textId="77777777" w:rsidR="00FE1A8E" w:rsidRPr="0021596F" w:rsidRDefault="00084A57">
      <w:r>
        <w:t>En el presente trabajo, el método multiescala “</w:t>
      </w:r>
      <w:proofErr w:type="spellStart"/>
      <w:r>
        <w:t>Atom</w:t>
      </w:r>
      <w:proofErr w:type="spellEnd"/>
      <w:r>
        <w:t>-</w:t>
      </w:r>
      <w:proofErr w:type="spellStart"/>
      <w:r>
        <w:t>to</w:t>
      </w:r>
      <w:proofErr w:type="spellEnd"/>
      <w:r>
        <w:t>-continuum” fue implementado para calcular esfuerzos locales en monocristales de Aluminio para diferentes tamaños de grano y así estimar el efecto del tamaño de grano en la resistencia última a la tensión. Los resultados fueron comparados con los resultados obtenidos de la formulación de Hardy. Los principales hallazgos de la investigación se pueden resumir a continuación:</w:t>
      </w:r>
    </w:p>
    <w:p w14:paraId="26A0BABC" w14:textId="77777777" w:rsidR="00FE1A8E" w:rsidRPr="0021596F" w:rsidRDefault="00084A57">
      <w:pPr>
        <w:pStyle w:val="Prrafodelista"/>
        <w:numPr>
          <w:ilvl w:val="0"/>
          <w:numId w:val="3"/>
        </w:numPr>
      </w:pPr>
      <w:r>
        <w:t xml:space="preserve">La resistencia última a la tensión exhibe independencia al tamaño de grano para los diferentes monocristales evaluados con fisura de borde. </w:t>
      </w:r>
    </w:p>
    <w:p w14:paraId="7F288434" w14:textId="2F78D749" w:rsidR="00FE1A8E" w:rsidRPr="0021596F" w:rsidRDefault="00084A57">
      <w:pPr>
        <w:pStyle w:val="Prrafodelista"/>
        <w:numPr>
          <w:ilvl w:val="0"/>
          <w:numId w:val="3"/>
        </w:numPr>
      </w:pPr>
      <w:r>
        <w:t>Los esfuerzos globales calculados con ATC presentan errores superiores al 100% con respecto a los calculados con la formulación de Hardy.</w:t>
      </w:r>
    </w:p>
    <w:p w14:paraId="40F8D070" w14:textId="05CB8D35" w:rsidR="00FE1A8E" w:rsidRPr="0021596F" w:rsidRDefault="00084A57">
      <w:pPr>
        <w:pStyle w:val="Prrafodelista"/>
        <w:numPr>
          <w:ilvl w:val="0"/>
          <w:numId w:val="3"/>
        </w:numPr>
      </w:pPr>
      <w:r>
        <w:t xml:space="preserve">El número de elementos afecta el </w:t>
      </w:r>
      <w:r w:rsidR="00095020">
        <w:t>cálculo</w:t>
      </w:r>
      <w:r>
        <w:t xml:space="preserve"> de esfuerzos locales cerca a la punta de la fisura debido a la interpolación de valores con esfuerzos muy altos y con esfuerzos cero en las zonas libres de tracción.</w:t>
      </w:r>
    </w:p>
    <w:p w14:paraId="2461365A" w14:textId="77777777" w:rsidR="00FE1A8E" w:rsidRPr="0021596F" w:rsidRDefault="00FE1A8E"/>
    <w:p w14:paraId="7632FC4A" w14:textId="3FFD761C" w:rsidR="00FE1A8E" w:rsidRPr="00E71688" w:rsidRDefault="00084A57" w:rsidP="00E71688">
      <w:pPr>
        <w:pStyle w:val="Ttulo1"/>
        <w:numPr>
          <w:ilvl w:val="0"/>
          <w:numId w:val="2"/>
        </w:numPr>
        <w:rPr>
          <w:lang w:val="en-US"/>
        </w:rPr>
      </w:pPr>
      <w:r>
        <w:t>Referencias</w:t>
      </w:r>
    </w:p>
    <w:p w14:paraId="650D781A" w14:textId="0EE431E4" w:rsidR="00E71688" w:rsidRPr="00E71688" w:rsidRDefault="00084A57" w:rsidP="00E71688">
      <w:pPr>
        <w:widowControl w:val="0"/>
        <w:autoSpaceDE w:val="0"/>
        <w:autoSpaceDN w:val="0"/>
        <w:adjustRightInd w:val="0"/>
        <w:ind w:left="640" w:hanging="640"/>
        <w:rPr>
          <w:rFonts w:cs="Times New Roman"/>
          <w:noProof/>
          <w:szCs w:val="24"/>
        </w:rPr>
      </w:pPr>
      <w:r>
        <w:fldChar w:fldCharType="begin" w:fldLock="1"/>
      </w:r>
      <w:r w:rsidRPr="0021596F">
        <w:rPr>
          <w:lang w:val="en-US"/>
        </w:rPr>
        <w:instrText>ADDIN Mendeley Bibliography CSL_BIBLIOGRAPHY</w:instrText>
      </w:r>
      <w:r>
        <w:fldChar w:fldCharType="separate"/>
      </w:r>
      <w:r w:rsidR="00E71688" w:rsidRPr="00E71688">
        <w:rPr>
          <w:rFonts w:cs="Times New Roman"/>
          <w:noProof/>
          <w:szCs w:val="24"/>
        </w:rPr>
        <w:t>[1]</w:t>
      </w:r>
      <w:r w:rsidR="00E71688" w:rsidRPr="00E71688">
        <w:rPr>
          <w:rFonts w:cs="Times New Roman"/>
          <w:noProof/>
          <w:szCs w:val="24"/>
        </w:rPr>
        <w:tab/>
        <w:t xml:space="preserve">B. Shiari and R. E. Miller, “Multiscale modeling of crack initiation and propagation at the nanoscale,” </w:t>
      </w:r>
      <w:r w:rsidR="00E71688" w:rsidRPr="00E71688">
        <w:rPr>
          <w:rFonts w:cs="Times New Roman"/>
          <w:i/>
          <w:iCs/>
          <w:noProof/>
          <w:szCs w:val="24"/>
        </w:rPr>
        <w:t>J. Mech. Phys. Solids</w:t>
      </w:r>
      <w:r w:rsidR="00E71688" w:rsidRPr="00E71688">
        <w:rPr>
          <w:rFonts w:cs="Times New Roman"/>
          <w:noProof/>
          <w:szCs w:val="24"/>
        </w:rPr>
        <w:t>, vol. 88, pp. 35–49, 2016.</w:t>
      </w:r>
    </w:p>
    <w:p w14:paraId="50C56140"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w:t>
      </w:r>
      <w:r w:rsidRPr="00E71688">
        <w:rPr>
          <w:rFonts w:cs="Times New Roman"/>
          <w:noProof/>
          <w:szCs w:val="24"/>
        </w:rPr>
        <w:tab/>
        <w:t xml:space="preserve">H. Chabba, M. Lemaalem, A. Derouiche, and D. Dafir, “Modeling aluminum using molecular dynamics simulation,” </w:t>
      </w:r>
      <w:r w:rsidRPr="00E71688">
        <w:rPr>
          <w:rFonts w:cs="Times New Roman"/>
          <w:i/>
          <w:iCs/>
          <w:noProof/>
          <w:szCs w:val="24"/>
        </w:rPr>
        <w:t>J. Mater. Environ. Sci.</w:t>
      </w:r>
      <w:r w:rsidRPr="00E71688">
        <w:rPr>
          <w:rFonts w:cs="Times New Roman"/>
          <w:noProof/>
          <w:szCs w:val="24"/>
        </w:rPr>
        <w:t>, vol. 9, no. 1, pp. 93–99, 2018.</w:t>
      </w:r>
    </w:p>
    <w:p w14:paraId="3F30ABFE"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w:t>
      </w:r>
      <w:r w:rsidRPr="00E71688">
        <w:rPr>
          <w:rFonts w:cs="Times New Roman"/>
          <w:noProof/>
          <w:szCs w:val="24"/>
        </w:rPr>
        <w:tab/>
        <w:t xml:space="preserve">S. Subedi, S. M. Handrigan, L. S. Morrissey, and S. Nakhla, “Mechanical properties of nanocrystalline aluminium: a molecular dynamics investigation,” </w:t>
      </w:r>
      <w:r w:rsidRPr="00E71688">
        <w:rPr>
          <w:rFonts w:cs="Times New Roman"/>
          <w:i/>
          <w:iCs/>
          <w:noProof/>
          <w:szCs w:val="24"/>
        </w:rPr>
        <w:t>Mol. Simul.</w:t>
      </w:r>
      <w:r w:rsidRPr="00E71688">
        <w:rPr>
          <w:rFonts w:cs="Times New Roman"/>
          <w:noProof/>
          <w:szCs w:val="24"/>
        </w:rPr>
        <w:t>, vol. 0, no. 0, pp. 898–904, 2020.</w:t>
      </w:r>
    </w:p>
    <w:p w14:paraId="4942FDA6"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[4]</w:t>
      </w:r>
      <w:r w:rsidRPr="00E71688">
        <w:rPr>
          <w:rFonts w:cs="Times New Roman"/>
          <w:noProof/>
          <w:szCs w:val="24"/>
        </w:rPr>
        <w:tab/>
        <w:t xml:space="preserve">B. Tang and R. Yang, “Molecular dynamics study of uniaxial deformation in perfect and defective aluminum,” </w:t>
      </w:r>
      <w:r w:rsidRPr="00E71688">
        <w:rPr>
          <w:rFonts w:cs="Times New Roman"/>
          <w:i/>
          <w:iCs/>
          <w:noProof/>
          <w:szCs w:val="24"/>
        </w:rPr>
        <w:t>Chinese J. Phys.</w:t>
      </w:r>
      <w:r w:rsidRPr="00E71688">
        <w:rPr>
          <w:rFonts w:cs="Times New Roman"/>
          <w:noProof/>
          <w:szCs w:val="24"/>
        </w:rPr>
        <w:t>, vol. 53, no. 7, pp. 1–13, 2015.</w:t>
      </w:r>
    </w:p>
    <w:p w14:paraId="2A09A2FF"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[5]</w:t>
      </w:r>
      <w:r w:rsidRPr="00E71688">
        <w:rPr>
          <w:rFonts w:cs="Times New Roman"/>
          <w:noProof/>
          <w:szCs w:val="24"/>
        </w:rPr>
        <w:tab/>
        <w:t xml:space="preserve">W. Velilla-Díaz, L. Ricardo, A. Palencia, and H. R. Zambrano, “Fracture toughness estimation of single-crystal aluminum at nanoscale,” </w:t>
      </w:r>
      <w:r w:rsidRPr="00E71688">
        <w:rPr>
          <w:rFonts w:cs="Times New Roman"/>
          <w:i/>
          <w:iCs/>
          <w:noProof/>
          <w:szCs w:val="24"/>
        </w:rPr>
        <w:t>Nanomaterials</w:t>
      </w:r>
      <w:r w:rsidRPr="00E71688">
        <w:rPr>
          <w:rFonts w:cs="Times New Roman"/>
          <w:noProof/>
          <w:szCs w:val="24"/>
        </w:rPr>
        <w:t>, vol. 11, no. 3, pp. 1–11, 2021.</w:t>
      </w:r>
    </w:p>
    <w:p w14:paraId="4EBED45F"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[6]</w:t>
      </w:r>
      <w:r w:rsidRPr="00E71688">
        <w:rPr>
          <w:rFonts w:cs="Times New Roman"/>
          <w:noProof/>
          <w:szCs w:val="24"/>
        </w:rPr>
        <w:tab/>
        <w:t xml:space="preserve">E. N. Hahn and M. A. Meyers, “Grain-size dependent mechanical behavior of nanocrystalline metals,” </w:t>
      </w:r>
      <w:r w:rsidRPr="00E71688">
        <w:rPr>
          <w:rFonts w:cs="Times New Roman"/>
          <w:i/>
          <w:iCs/>
          <w:noProof/>
          <w:szCs w:val="24"/>
        </w:rPr>
        <w:t>Mater. Sci. Eng. A</w:t>
      </w:r>
      <w:r w:rsidRPr="00E71688">
        <w:rPr>
          <w:rFonts w:cs="Times New Roman"/>
          <w:noProof/>
          <w:szCs w:val="24"/>
        </w:rPr>
        <w:t>, vol. 646, pp. 101–134, 2015.</w:t>
      </w:r>
    </w:p>
    <w:p w14:paraId="09E62226"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[7]</w:t>
      </w:r>
      <w:r w:rsidRPr="00E71688">
        <w:rPr>
          <w:rFonts w:cs="Times New Roman"/>
          <w:noProof/>
          <w:szCs w:val="24"/>
        </w:rPr>
        <w:tab/>
        <w:t xml:space="preserve">W. Xu and L. P. Dávila, “Tensile </w:t>
      </w:r>
      <w:r w:rsidRPr="00E71688">
        <w:rPr>
          <w:rFonts w:cs="Times New Roman"/>
          <w:noProof/>
          <w:szCs w:val="24"/>
        </w:rPr>
        <w:t xml:space="preserve">nanomechanics and the Hall-Petch effect in nanocrystalline aluminium,” </w:t>
      </w:r>
      <w:r w:rsidRPr="00E71688">
        <w:rPr>
          <w:rFonts w:cs="Times New Roman"/>
          <w:i/>
          <w:iCs/>
          <w:noProof/>
          <w:szCs w:val="24"/>
        </w:rPr>
        <w:t>Mater. Sci. Eng. A</w:t>
      </w:r>
      <w:r w:rsidRPr="00E71688">
        <w:rPr>
          <w:rFonts w:cs="Times New Roman"/>
          <w:noProof/>
          <w:szCs w:val="24"/>
        </w:rPr>
        <w:t>, vol. 710, no. October 2017, pp. 413–418, 2018.</w:t>
      </w:r>
    </w:p>
    <w:p w14:paraId="5CB8B2EA"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[8]</w:t>
      </w:r>
      <w:r w:rsidRPr="00E71688">
        <w:rPr>
          <w:rFonts w:cs="Times New Roman"/>
          <w:noProof/>
          <w:szCs w:val="24"/>
        </w:rPr>
        <w:tab/>
        <w:t xml:space="preserve">C. Suryanarayana, “Nanocrystalline materials c. Suryanarayana,” </w:t>
      </w:r>
      <w:r w:rsidRPr="00E71688">
        <w:rPr>
          <w:rFonts w:cs="Times New Roman"/>
          <w:i/>
          <w:iCs/>
          <w:noProof/>
          <w:szCs w:val="24"/>
        </w:rPr>
        <w:t>Int. Mater. Rev.</w:t>
      </w:r>
      <w:r w:rsidRPr="00E71688">
        <w:rPr>
          <w:rFonts w:cs="Times New Roman"/>
          <w:noProof/>
          <w:szCs w:val="24"/>
        </w:rPr>
        <w:t>, vol. 40, no. 2, pp. 41–64, 1995.</w:t>
      </w:r>
    </w:p>
    <w:p w14:paraId="34B4B42B"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[9]</w:t>
      </w:r>
      <w:r w:rsidRPr="00E71688">
        <w:rPr>
          <w:rFonts w:cs="Times New Roman"/>
          <w:noProof/>
          <w:szCs w:val="24"/>
        </w:rPr>
        <w:tab/>
        <w:t xml:space="preserve">S. Chandra, N. N. Kumar, M. K. Samal, V. M. Chavan, and R. J. Patel, “Molecular dynamics simulations of crack growth behavior in Al in the presence of vacancies,” </w:t>
      </w:r>
      <w:r w:rsidRPr="00E71688">
        <w:rPr>
          <w:rFonts w:cs="Times New Roman"/>
          <w:i/>
          <w:iCs/>
          <w:noProof/>
          <w:szCs w:val="24"/>
        </w:rPr>
        <w:t>Comput. Mater. Sci.</w:t>
      </w:r>
      <w:r w:rsidRPr="00E71688">
        <w:rPr>
          <w:rFonts w:cs="Times New Roman"/>
          <w:noProof/>
          <w:szCs w:val="24"/>
        </w:rPr>
        <w:t>, vol. 117, pp. 518–526, 2016.</w:t>
      </w:r>
    </w:p>
    <w:p w14:paraId="1370A473"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[10]</w:t>
      </w:r>
      <w:r w:rsidRPr="00E71688">
        <w:rPr>
          <w:rFonts w:cs="Times New Roman"/>
          <w:noProof/>
          <w:szCs w:val="24"/>
        </w:rPr>
        <w:tab/>
        <w:t xml:space="preserve">W. Velilla-Díaz, A. Pacheco-Sanjuan, and H. R. Zambrano, “The role of the grain boundary in the fracture toughness of aluminum bicrystal,” </w:t>
      </w:r>
      <w:r w:rsidRPr="00E71688">
        <w:rPr>
          <w:rFonts w:cs="Times New Roman"/>
          <w:i/>
          <w:iCs/>
          <w:noProof/>
          <w:szCs w:val="24"/>
        </w:rPr>
        <w:t>Comput. Mater. Sci.</w:t>
      </w:r>
      <w:r w:rsidRPr="00E71688">
        <w:rPr>
          <w:rFonts w:cs="Times New Roman"/>
          <w:noProof/>
          <w:szCs w:val="24"/>
        </w:rPr>
        <w:t>, vol. 167, no. March, pp. 34–41, 2019.</w:t>
      </w:r>
    </w:p>
    <w:p w14:paraId="6361868C"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[11]</w:t>
      </w:r>
      <w:r w:rsidRPr="00E71688">
        <w:rPr>
          <w:rFonts w:cs="Times New Roman"/>
          <w:noProof/>
          <w:szCs w:val="24"/>
        </w:rPr>
        <w:tab/>
        <w:t>W. Velilla-Díaz and H. R. Zambrano, “Crack Length Effect on the Fracture Behavior of Single-Crystals and Bi-Crystals of Aluminum,” no. Figure 1, pp. 1–9, 2021.</w:t>
      </w:r>
    </w:p>
    <w:p w14:paraId="2F73A099"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[12]</w:t>
      </w:r>
      <w:r w:rsidRPr="00E71688">
        <w:rPr>
          <w:rFonts w:cs="Times New Roman"/>
          <w:noProof/>
          <w:szCs w:val="24"/>
        </w:rPr>
        <w:tab/>
        <w:t xml:space="preserve">W. K. Liu, E. G. Karpov, S. Zhang, and H. S. Park, </w:t>
      </w:r>
      <w:r w:rsidRPr="00E71688">
        <w:rPr>
          <w:rFonts w:cs="Times New Roman"/>
          <w:i/>
          <w:iCs/>
          <w:noProof/>
          <w:szCs w:val="24"/>
        </w:rPr>
        <w:t>An introduction to computational nanomechanics and materials</w:t>
      </w:r>
      <w:r w:rsidRPr="00E71688">
        <w:rPr>
          <w:rFonts w:cs="Times New Roman"/>
          <w:noProof/>
          <w:szCs w:val="24"/>
        </w:rPr>
        <w:t>, vol. 193, no. 17–20. 2004.</w:t>
      </w:r>
    </w:p>
    <w:p w14:paraId="01E4CB1A"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[13]</w:t>
      </w:r>
      <w:r w:rsidRPr="00E71688">
        <w:rPr>
          <w:rFonts w:cs="Times New Roman"/>
          <w:noProof/>
          <w:szCs w:val="24"/>
        </w:rPr>
        <w:tab/>
        <w:t xml:space="preserve">H. S. Park and W. K. Liu, “An introduction and tutorial on multiple-scale analysis in solids,” </w:t>
      </w:r>
      <w:r w:rsidRPr="00E71688">
        <w:rPr>
          <w:rFonts w:cs="Times New Roman"/>
          <w:i/>
          <w:iCs/>
          <w:noProof/>
          <w:szCs w:val="24"/>
        </w:rPr>
        <w:t>Comput. Methods Appl. Mech. Eng.</w:t>
      </w:r>
      <w:r w:rsidRPr="00E71688">
        <w:rPr>
          <w:rFonts w:cs="Times New Roman"/>
          <w:noProof/>
          <w:szCs w:val="24"/>
        </w:rPr>
        <w:t>, vol. 193, no. 17–20, pp. 1733–1772, 2004.</w:t>
      </w:r>
    </w:p>
    <w:p w14:paraId="41505CCB"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[14]</w:t>
      </w:r>
      <w:r w:rsidRPr="00E71688">
        <w:rPr>
          <w:rFonts w:cs="Times New Roman"/>
          <w:noProof/>
          <w:szCs w:val="24"/>
        </w:rPr>
        <w:tab/>
        <w:t xml:space="preserve">W. A. Curtin and R. E. Miller, “Atomistic / continuum coupling in computational,” </w:t>
      </w:r>
      <w:r w:rsidRPr="00E71688">
        <w:rPr>
          <w:rFonts w:cs="Times New Roman"/>
          <w:i/>
          <w:iCs/>
          <w:noProof/>
          <w:szCs w:val="24"/>
        </w:rPr>
        <w:t>Model. Simul. Mater. Sci. Eng.</w:t>
      </w:r>
      <w:r w:rsidRPr="00E71688">
        <w:rPr>
          <w:rFonts w:cs="Times New Roman"/>
          <w:noProof/>
          <w:szCs w:val="24"/>
        </w:rPr>
        <w:t>, vol. 11, p. R33, 2003.</w:t>
      </w:r>
    </w:p>
    <w:p w14:paraId="4304A201"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[15]</w:t>
      </w:r>
      <w:r w:rsidRPr="00E71688">
        <w:rPr>
          <w:rFonts w:cs="Times New Roman"/>
          <w:noProof/>
          <w:szCs w:val="24"/>
        </w:rPr>
        <w:tab/>
        <w:t xml:space="preserve">L. E. Shilkrot, R. E. Miller, and W. A. Curtin, “Multiscale plasticity modeling: Coupled atomistics and discrete dislocation mechanics,” </w:t>
      </w:r>
      <w:r w:rsidRPr="00E71688">
        <w:rPr>
          <w:rFonts w:cs="Times New Roman"/>
          <w:i/>
          <w:iCs/>
          <w:noProof/>
          <w:szCs w:val="24"/>
        </w:rPr>
        <w:t>J. Mech. Phys. Solids</w:t>
      </w:r>
      <w:r w:rsidRPr="00E71688">
        <w:rPr>
          <w:rFonts w:cs="Times New Roman"/>
          <w:noProof/>
          <w:szCs w:val="24"/>
        </w:rPr>
        <w:t>, vol. 52, no. 4, pp. 755–787, 2004.</w:t>
      </w:r>
    </w:p>
    <w:p w14:paraId="23C7CB12"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[16]</w:t>
      </w:r>
      <w:r w:rsidRPr="00E71688">
        <w:rPr>
          <w:rFonts w:cs="Times New Roman"/>
          <w:noProof/>
          <w:szCs w:val="24"/>
        </w:rPr>
        <w:tab/>
        <w:t xml:space="preserve">R. Miller, E. B. Tadmor, R. Phillips, and M. Ortiz, “Quasicontinuum simulation of fracture at the atomic scale,” </w:t>
      </w:r>
      <w:r w:rsidRPr="00E71688">
        <w:rPr>
          <w:rFonts w:cs="Times New Roman"/>
          <w:i/>
          <w:iCs/>
          <w:noProof/>
          <w:szCs w:val="24"/>
        </w:rPr>
        <w:t>Model. Simul. Mater. Sci. Eng.</w:t>
      </w:r>
      <w:r w:rsidRPr="00E71688">
        <w:rPr>
          <w:rFonts w:cs="Times New Roman"/>
          <w:noProof/>
          <w:szCs w:val="24"/>
        </w:rPr>
        <w:t>, vol. 6, no. 5, pp. 607–638, 1998.</w:t>
      </w:r>
    </w:p>
    <w:p w14:paraId="42C628B0"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[17]</w:t>
      </w:r>
      <w:r w:rsidRPr="00E71688">
        <w:rPr>
          <w:rFonts w:cs="Times New Roman"/>
          <w:noProof/>
          <w:szCs w:val="24"/>
        </w:rPr>
        <w:tab/>
        <w:t xml:space="preserve">C. S. Shin, M. C. Fivel, D. Rodney, R. Phillips, V. B. Shenoy, and L. Dupuy, “Formation and strength of dislocation junctions in FCC metals: A study by dislocation dynamics and atomistic simulations,” </w:t>
      </w:r>
      <w:r w:rsidRPr="00E71688">
        <w:rPr>
          <w:rFonts w:cs="Times New Roman"/>
          <w:i/>
          <w:iCs/>
          <w:noProof/>
          <w:szCs w:val="24"/>
        </w:rPr>
        <w:t>J. Phys. IV  JP</w:t>
      </w:r>
      <w:r w:rsidRPr="00E71688">
        <w:rPr>
          <w:rFonts w:cs="Times New Roman"/>
          <w:noProof/>
          <w:szCs w:val="24"/>
        </w:rPr>
        <w:t>, vol. 11, no. 5, 2001.</w:t>
      </w:r>
    </w:p>
    <w:p w14:paraId="4713B5CA"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[18]</w:t>
      </w:r>
      <w:r w:rsidRPr="00E71688">
        <w:rPr>
          <w:rFonts w:cs="Times New Roman"/>
          <w:noProof/>
          <w:szCs w:val="24"/>
        </w:rPr>
        <w:tab/>
        <w:t xml:space="preserve">H. Moslemzadeh, O. Alizadeh, and S. Mohammadi, “Quasicontinuum multiscale modeling of the effect of rough surface on nanoindentation behavior,” </w:t>
      </w:r>
      <w:r w:rsidRPr="00E71688">
        <w:rPr>
          <w:rFonts w:cs="Times New Roman"/>
          <w:i/>
          <w:iCs/>
          <w:noProof/>
          <w:szCs w:val="24"/>
        </w:rPr>
        <w:t>Meccanica</w:t>
      </w:r>
      <w:r w:rsidRPr="00E71688">
        <w:rPr>
          <w:rFonts w:cs="Times New Roman"/>
          <w:noProof/>
          <w:szCs w:val="24"/>
        </w:rPr>
        <w:t>, vol. 54, no. 3, pp. 411–427, 2019.</w:t>
      </w:r>
    </w:p>
    <w:p w14:paraId="5A31D5A8"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[19]</w:t>
      </w:r>
      <w:r w:rsidRPr="00E71688">
        <w:rPr>
          <w:rFonts w:cs="Times New Roman"/>
          <w:noProof/>
          <w:szCs w:val="24"/>
        </w:rPr>
        <w:tab/>
        <w:t xml:space="preserve">R. Z. Qiu, Y. C. Lin, and T. H. Fang, “Fatigue crack growth characteristics of Fe and Ni under cyclic loading using a quasi-continuum method,” </w:t>
      </w:r>
      <w:r w:rsidRPr="00E71688">
        <w:rPr>
          <w:rFonts w:cs="Times New Roman"/>
          <w:i/>
          <w:iCs/>
          <w:noProof/>
          <w:szCs w:val="24"/>
        </w:rPr>
        <w:t>Beilstein J. Nanotechnol.</w:t>
      </w:r>
      <w:r w:rsidRPr="00E71688">
        <w:rPr>
          <w:rFonts w:cs="Times New Roman"/>
          <w:noProof/>
          <w:szCs w:val="24"/>
        </w:rPr>
        <w:t>, vol. 9, no. 1, pp. 1000–1014, 2018.</w:t>
      </w:r>
    </w:p>
    <w:p w14:paraId="44DE6E9D"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[20]</w:t>
      </w:r>
      <w:r w:rsidRPr="00E71688">
        <w:rPr>
          <w:rFonts w:cs="Times New Roman"/>
          <w:noProof/>
          <w:szCs w:val="24"/>
        </w:rPr>
        <w:tab/>
        <w:t xml:space="preserve">E. Saether, V. Yamakov, and E. H. Glaessgen, </w:t>
      </w:r>
      <w:r w:rsidRPr="00E71688">
        <w:rPr>
          <w:rFonts w:cs="Times New Roman"/>
          <w:noProof/>
          <w:szCs w:val="24"/>
        </w:rPr>
        <w:lastRenderedPageBreak/>
        <w:t xml:space="preserve">“An embedded statistical method for coupling molecular dynamics and finite element analyses,” </w:t>
      </w:r>
      <w:r w:rsidRPr="00E71688">
        <w:rPr>
          <w:rFonts w:cs="Times New Roman"/>
          <w:i/>
          <w:iCs/>
          <w:noProof/>
          <w:szCs w:val="24"/>
        </w:rPr>
        <w:t>Int. J. Numer. Methods Eng.</w:t>
      </w:r>
      <w:r w:rsidRPr="00E71688">
        <w:rPr>
          <w:rFonts w:cs="Times New Roman"/>
          <w:noProof/>
          <w:szCs w:val="24"/>
        </w:rPr>
        <w:t>, no. January, pp. 1292–1319, 2009.</w:t>
      </w:r>
    </w:p>
    <w:p w14:paraId="24465C0C"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[21]</w:t>
      </w:r>
      <w:r w:rsidRPr="00E71688">
        <w:rPr>
          <w:rFonts w:cs="Times New Roman"/>
          <w:noProof/>
          <w:szCs w:val="24"/>
        </w:rPr>
        <w:tab/>
        <w:t xml:space="preserve">V. I. Yamakov, D. H. Warner, R. J. Zamora, E. Saether, W. A. Curtin, and E. H. Glaessgen, “Investigation of crack tip dislocation emission in aluminum using multiscale molecular dynamics simulation and continuum modeling,” </w:t>
      </w:r>
      <w:r w:rsidRPr="00E71688">
        <w:rPr>
          <w:rFonts w:cs="Times New Roman"/>
          <w:i/>
          <w:iCs/>
          <w:noProof/>
          <w:szCs w:val="24"/>
        </w:rPr>
        <w:t>J. Mech. Phys. Solids</w:t>
      </w:r>
      <w:r w:rsidRPr="00E71688">
        <w:rPr>
          <w:rFonts w:cs="Times New Roman"/>
          <w:noProof/>
          <w:szCs w:val="24"/>
        </w:rPr>
        <w:t>, vol. 65, no. 1, pp. 35–53, 2014.</w:t>
      </w:r>
    </w:p>
    <w:p w14:paraId="3A45F820"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[22]</w:t>
      </w:r>
      <w:r w:rsidRPr="00E71688">
        <w:rPr>
          <w:rFonts w:cs="Times New Roman"/>
          <w:noProof/>
          <w:szCs w:val="24"/>
        </w:rPr>
        <w:tab/>
        <w:t xml:space="preserve">Y. Chen, S. Shabanov, and D. L. McDowell, “Concurrent atomistic-continuum modeling of crystalline materials,” </w:t>
      </w:r>
      <w:r w:rsidRPr="00E71688">
        <w:rPr>
          <w:rFonts w:cs="Times New Roman"/>
          <w:i/>
          <w:iCs/>
          <w:noProof/>
          <w:szCs w:val="24"/>
        </w:rPr>
        <w:t>J. Appl. Phys.</w:t>
      </w:r>
      <w:r w:rsidRPr="00E71688">
        <w:rPr>
          <w:rFonts w:cs="Times New Roman"/>
          <w:noProof/>
          <w:szCs w:val="24"/>
        </w:rPr>
        <w:t>, vol. 126, no. 10, 2019.</w:t>
      </w:r>
    </w:p>
    <w:p w14:paraId="294CAD35"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[23]</w:t>
      </w:r>
      <w:r w:rsidRPr="00E71688">
        <w:rPr>
          <w:rFonts w:cs="Times New Roman"/>
          <w:noProof/>
          <w:szCs w:val="24"/>
        </w:rPr>
        <w:tab/>
        <w:t xml:space="preserve">S. Yang and Y. Chen, “Concurrent atomistic and continuum simulation of bi-crystal strontium titanate with tilt grain boundary,” </w:t>
      </w:r>
      <w:r w:rsidRPr="00E71688">
        <w:rPr>
          <w:rFonts w:cs="Times New Roman"/>
          <w:i/>
          <w:iCs/>
          <w:noProof/>
          <w:szCs w:val="24"/>
        </w:rPr>
        <w:t>Proc. R. Soc. A Math. Phys. Eng. Sci.</w:t>
      </w:r>
      <w:r w:rsidRPr="00E71688">
        <w:rPr>
          <w:rFonts w:cs="Times New Roman"/>
          <w:noProof/>
          <w:szCs w:val="24"/>
        </w:rPr>
        <w:t>, vol. 471, no. 2175, 2015.</w:t>
      </w:r>
    </w:p>
    <w:p w14:paraId="7D9D8BF6"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[24]</w:t>
      </w:r>
      <w:r w:rsidRPr="00E71688">
        <w:rPr>
          <w:rFonts w:cs="Times New Roman"/>
          <w:noProof/>
          <w:szCs w:val="24"/>
        </w:rPr>
        <w:tab/>
        <w:t xml:space="preserve">R. J. Hardy, “Formulas for determining local properties in molecular-dynamics simulations: Shock waves,” </w:t>
      </w:r>
      <w:r w:rsidRPr="00E71688">
        <w:rPr>
          <w:rFonts w:cs="Times New Roman"/>
          <w:i/>
          <w:iCs/>
          <w:noProof/>
          <w:szCs w:val="24"/>
        </w:rPr>
        <w:t>J. Chem. Phys.</w:t>
      </w:r>
      <w:r w:rsidRPr="00E71688">
        <w:rPr>
          <w:rFonts w:cs="Times New Roman"/>
          <w:noProof/>
          <w:szCs w:val="24"/>
        </w:rPr>
        <w:t>, vol. 76, no. 1, pp. 622–628, 1982.</w:t>
      </w:r>
    </w:p>
    <w:p w14:paraId="200F6809"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[25]</w:t>
      </w:r>
      <w:r w:rsidRPr="00E71688">
        <w:rPr>
          <w:rFonts w:cs="Times New Roman"/>
          <w:noProof/>
          <w:szCs w:val="24"/>
        </w:rPr>
        <w:tab/>
        <w:t xml:space="preserve">M. I. Mendelev, M. J. Kramer, C. A. Becker, and M. Asta, “Analysis of semi-empirical interatomic potentials appropriate for simulation of crystalline and liquid Al and Cu,” </w:t>
      </w:r>
      <w:r w:rsidRPr="00E71688">
        <w:rPr>
          <w:rFonts w:cs="Times New Roman"/>
          <w:i/>
          <w:iCs/>
          <w:noProof/>
          <w:szCs w:val="24"/>
        </w:rPr>
        <w:t>Philos. Mag.</w:t>
      </w:r>
      <w:r w:rsidRPr="00E71688">
        <w:rPr>
          <w:rFonts w:cs="Times New Roman"/>
          <w:noProof/>
          <w:szCs w:val="24"/>
        </w:rPr>
        <w:t>, vol. 88, no. 12, pp. 1723–1750, 2008.</w:t>
      </w:r>
    </w:p>
    <w:p w14:paraId="0A16EAED"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[26]</w:t>
      </w:r>
      <w:r w:rsidRPr="00E71688">
        <w:rPr>
          <w:rFonts w:cs="Times New Roman"/>
          <w:noProof/>
          <w:szCs w:val="24"/>
        </w:rPr>
        <w:tab/>
        <w:t xml:space="preserve">S. J. Plimpton, “Fast parallel algorithms for short-range molecular dynamics,” </w:t>
      </w:r>
      <w:r w:rsidRPr="00E71688">
        <w:rPr>
          <w:rFonts w:cs="Times New Roman"/>
          <w:i/>
          <w:iCs/>
          <w:noProof/>
          <w:szCs w:val="24"/>
        </w:rPr>
        <w:t>J. Comput. Phys.</w:t>
      </w:r>
      <w:r w:rsidRPr="00E71688">
        <w:rPr>
          <w:rFonts w:cs="Times New Roman"/>
          <w:noProof/>
          <w:szCs w:val="24"/>
        </w:rPr>
        <w:t>, vol. 117, pp. 1–19, 1995.</w:t>
      </w:r>
    </w:p>
    <w:p w14:paraId="2C3F4EC8"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[27]</w:t>
      </w:r>
      <w:r w:rsidRPr="00E71688">
        <w:rPr>
          <w:rFonts w:cs="Times New Roman"/>
          <w:noProof/>
          <w:szCs w:val="24"/>
        </w:rPr>
        <w:tab/>
        <w:t xml:space="preserve">A. P. Thompson, S. J. Plimpton, and W. Mattson, “General formulation of pressure and stress tensor for arbitrary many-body interaction potentials under periodic boundary conditions,” </w:t>
      </w:r>
      <w:r w:rsidRPr="00E71688">
        <w:rPr>
          <w:rFonts w:cs="Times New Roman"/>
          <w:i/>
          <w:iCs/>
          <w:noProof/>
          <w:szCs w:val="24"/>
        </w:rPr>
        <w:t>J. Chem. Phys.</w:t>
      </w:r>
      <w:r w:rsidRPr="00E71688">
        <w:rPr>
          <w:rFonts w:cs="Times New Roman"/>
          <w:noProof/>
          <w:szCs w:val="24"/>
        </w:rPr>
        <w:t>, vol. 131, no. 15, 2009.</w:t>
      </w:r>
    </w:p>
    <w:p w14:paraId="13BE097A"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[28]</w:t>
      </w:r>
      <w:r w:rsidRPr="00E71688">
        <w:rPr>
          <w:rFonts w:cs="Times New Roman"/>
          <w:noProof/>
          <w:szCs w:val="24"/>
        </w:rPr>
        <w:tab/>
        <w:t xml:space="preserve">R. E. . Jones, J. Templeton, and J. Zimmerman, “Principles of Coarse-Graining and Coupling Using the Atom-to-Continuum Method,” in </w:t>
      </w:r>
      <w:r w:rsidRPr="00E71688">
        <w:rPr>
          <w:rFonts w:cs="Times New Roman"/>
          <w:i/>
          <w:iCs/>
          <w:noProof/>
          <w:szCs w:val="24"/>
        </w:rPr>
        <w:t>Springer Series in Materials Science</w:t>
      </w:r>
      <w:r w:rsidRPr="00E71688">
        <w:rPr>
          <w:rFonts w:cs="Times New Roman"/>
          <w:noProof/>
          <w:szCs w:val="24"/>
        </w:rPr>
        <w:t>, vol. 245, 2016, pp. 441–468.</w:t>
      </w:r>
    </w:p>
    <w:p w14:paraId="7C7E5759"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[29]</w:t>
      </w:r>
      <w:r w:rsidRPr="00E71688">
        <w:rPr>
          <w:rFonts w:cs="Times New Roman"/>
          <w:noProof/>
          <w:szCs w:val="24"/>
        </w:rPr>
        <w:tab/>
        <w:t xml:space="preserve">J. A. Templeton, R. E. Jones, and G. J. Wagner, “Application of a field-based method to spatially varying thermal transport problems in molecular dynamics,” </w:t>
      </w:r>
      <w:r w:rsidRPr="00E71688">
        <w:rPr>
          <w:rFonts w:cs="Times New Roman"/>
          <w:i/>
          <w:iCs/>
          <w:noProof/>
          <w:szCs w:val="24"/>
        </w:rPr>
        <w:t>Model. Simul. Mater. Sci. Eng.</w:t>
      </w:r>
      <w:r w:rsidRPr="00E71688">
        <w:rPr>
          <w:rFonts w:cs="Times New Roman"/>
          <w:noProof/>
          <w:szCs w:val="24"/>
        </w:rPr>
        <w:t>, vol. 18, no. 8, 2010.</w:t>
      </w:r>
    </w:p>
    <w:p w14:paraId="15E9DCDB"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[30]</w:t>
      </w:r>
      <w:r w:rsidRPr="00E71688">
        <w:rPr>
          <w:rFonts w:cs="Times New Roman"/>
          <w:noProof/>
          <w:szCs w:val="24"/>
        </w:rPr>
        <w:tab/>
        <w:t xml:space="preserve">R. E. Jones, J. A. Templeton, and T. W. Rebold, “Simulated real-time detection of a small molecule on a carbon nanotube cantilever,” </w:t>
      </w:r>
      <w:r w:rsidRPr="00E71688">
        <w:rPr>
          <w:rFonts w:cs="Times New Roman"/>
          <w:i/>
          <w:iCs/>
          <w:noProof/>
          <w:szCs w:val="24"/>
        </w:rPr>
        <w:t>J. Comput. Theor. Nanosci.</w:t>
      </w:r>
      <w:r w:rsidRPr="00E71688">
        <w:rPr>
          <w:rFonts w:cs="Times New Roman"/>
          <w:noProof/>
          <w:szCs w:val="24"/>
        </w:rPr>
        <w:t>, vol. 8, no. 8, pp. 1364–1384, 2011.</w:t>
      </w:r>
    </w:p>
    <w:p w14:paraId="47CA8A36"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[31]</w:t>
      </w:r>
      <w:r w:rsidRPr="00E71688">
        <w:rPr>
          <w:rFonts w:cs="Times New Roman"/>
          <w:noProof/>
          <w:szCs w:val="24"/>
        </w:rPr>
        <w:tab/>
        <w:t xml:space="preserve">J. A. Zimmerman, E. B. Webb, J. J. Hoyt, R. E. Jones, P. A. Klein, and D. J. Bammann, “Calculation of stress in atomistic simulation,” </w:t>
      </w:r>
      <w:r w:rsidRPr="00E71688">
        <w:rPr>
          <w:rFonts w:cs="Times New Roman"/>
          <w:i/>
          <w:iCs/>
          <w:noProof/>
          <w:szCs w:val="24"/>
        </w:rPr>
        <w:t>Model. Simul. Mater. Sci. Eng.</w:t>
      </w:r>
      <w:r w:rsidRPr="00E71688">
        <w:rPr>
          <w:rFonts w:cs="Times New Roman"/>
          <w:noProof/>
          <w:szCs w:val="24"/>
        </w:rPr>
        <w:t xml:space="preserve">, vol. 12, no. 4, </w:t>
      </w:r>
      <w:r w:rsidRPr="00E71688">
        <w:rPr>
          <w:rFonts w:cs="Times New Roman"/>
          <w:noProof/>
          <w:szCs w:val="24"/>
        </w:rPr>
        <w:t>2004.</w:t>
      </w:r>
    </w:p>
    <w:p w14:paraId="40250C7D"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[32]</w:t>
      </w:r>
      <w:r w:rsidRPr="00E71688">
        <w:rPr>
          <w:rFonts w:cs="Times New Roman"/>
          <w:noProof/>
          <w:szCs w:val="24"/>
        </w:rPr>
        <w:tab/>
        <w:t xml:space="preserve">R. E. Jones and J. A. Zimmerman, “The construction and application of an atomistic J-integral via Hardy estimates of continuum fields,” </w:t>
      </w:r>
      <w:r w:rsidRPr="00E71688">
        <w:rPr>
          <w:rFonts w:cs="Times New Roman"/>
          <w:i/>
          <w:iCs/>
          <w:noProof/>
          <w:szCs w:val="24"/>
        </w:rPr>
        <w:t>J. Mech. Phys. Solids</w:t>
      </w:r>
      <w:r w:rsidRPr="00E71688">
        <w:rPr>
          <w:rFonts w:cs="Times New Roman"/>
          <w:noProof/>
          <w:szCs w:val="24"/>
        </w:rPr>
        <w:t>, vol. 58, no. 9, pp. 1318–1337, 2010.</w:t>
      </w:r>
    </w:p>
    <w:p w14:paraId="685CED33"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[33]</w:t>
      </w:r>
      <w:r w:rsidRPr="00E71688">
        <w:rPr>
          <w:rFonts w:cs="Times New Roman"/>
          <w:noProof/>
          <w:szCs w:val="24"/>
        </w:rPr>
        <w:tab/>
        <w:t xml:space="preserve">J. A. Zimmerman, R. E. Jones, and J. A. Templeton, “A material frame approach for evaluating continuum variables in atomistic simulations,” </w:t>
      </w:r>
      <w:r w:rsidRPr="00E71688">
        <w:rPr>
          <w:rFonts w:cs="Times New Roman"/>
          <w:i/>
          <w:iCs/>
          <w:noProof/>
          <w:szCs w:val="24"/>
        </w:rPr>
        <w:t>J. Comput. Phys.</w:t>
      </w:r>
      <w:r w:rsidRPr="00E71688">
        <w:rPr>
          <w:rFonts w:cs="Times New Roman"/>
          <w:noProof/>
          <w:szCs w:val="24"/>
        </w:rPr>
        <w:t>, vol. 229, no. 6, pp. 2364–2389, 2010.</w:t>
      </w:r>
    </w:p>
    <w:p w14:paraId="5004BCE8"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[34]</w:t>
      </w:r>
      <w:r w:rsidRPr="00E71688">
        <w:rPr>
          <w:rFonts w:cs="Times New Roman"/>
          <w:noProof/>
          <w:szCs w:val="24"/>
        </w:rPr>
        <w:tab/>
        <w:t xml:space="preserve">R. E. Jones, J. A. Zimmerman, J. Oswald, and T. Belytschko, “An atomistic J-integral at finite temperature based on hardy estimates of continuum fields,” </w:t>
      </w:r>
      <w:r w:rsidRPr="00E71688">
        <w:rPr>
          <w:rFonts w:cs="Times New Roman"/>
          <w:i/>
          <w:iCs/>
          <w:noProof/>
          <w:szCs w:val="24"/>
        </w:rPr>
        <w:t>J. Phys. Condens. Matter</w:t>
      </w:r>
      <w:r w:rsidRPr="00E71688">
        <w:rPr>
          <w:rFonts w:cs="Times New Roman"/>
          <w:noProof/>
          <w:szCs w:val="24"/>
        </w:rPr>
        <w:t>, vol. 23, no. 1, 2011.</w:t>
      </w:r>
    </w:p>
    <w:p w14:paraId="60CFE207"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[35]</w:t>
      </w:r>
      <w:r w:rsidRPr="00E71688">
        <w:rPr>
          <w:rFonts w:cs="Times New Roman"/>
          <w:noProof/>
          <w:szCs w:val="24"/>
        </w:rPr>
        <w:tab/>
        <w:t xml:space="preserve">J. A. Zimmerman and R. E. Jones, “The application of an atomistic J-integral to a ductile crack,” </w:t>
      </w:r>
      <w:r w:rsidRPr="00E71688">
        <w:rPr>
          <w:rFonts w:cs="Times New Roman"/>
          <w:i/>
          <w:iCs/>
          <w:noProof/>
          <w:szCs w:val="24"/>
        </w:rPr>
        <w:t>J. Phys. Condens. Matter</w:t>
      </w:r>
      <w:r w:rsidRPr="00E71688">
        <w:rPr>
          <w:rFonts w:cs="Times New Roman"/>
          <w:noProof/>
          <w:szCs w:val="24"/>
        </w:rPr>
        <w:t>, vol. 25, no. 15, 2013.</w:t>
      </w:r>
    </w:p>
    <w:p w14:paraId="221F06E7"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[36]</w:t>
      </w:r>
      <w:r w:rsidRPr="00E71688">
        <w:rPr>
          <w:rFonts w:cs="Times New Roman"/>
          <w:noProof/>
          <w:szCs w:val="24"/>
        </w:rPr>
        <w:tab/>
        <w:t xml:space="preserve">G. J. Wagner, R. E. Jones, J. A. Templeton, and M. L. Parks, “An atomistic-to-continuum coupling method for heat transfer in solids,” </w:t>
      </w:r>
      <w:r w:rsidRPr="00E71688">
        <w:rPr>
          <w:rFonts w:cs="Times New Roman"/>
          <w:i/>
          <w:iCs/>
          <w:noProof/>
          <w:szCs w:val="24"/>
        </w:rPr>
        <w:t>Comput. Methods Appl. Mech. Eng.</w:t>
      </w:r>
      <w:r w:rsidRPr="00E71688">
        <w:rPr>
          <w:rFonts w:cs="Times New Roman"/>
          <w:noProof/>
          <w:szCs w:val="24"/>
        </w:rPr>
        <w:t>, vol. 197, no. 41–42, pp. 3351–3365, 2008.</w:t>
      </w:r>
    </w:p>
    <w:p w14:paraId="1B589606"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[37]</w:t>
      </w:r>
      <w:r w:rsidRPr="00E71688">
        <w:rPr>
          <w:rFonts w:cs="Times New Roman"/>
          <w:noProof/>
          <w:szCs w:val="24"/>
        </w:rPr>
        <w:tab/>
        <w:t xml:space="preserve">T. J. R. Hughes, </w:t>
      </w:r>
      <w:r w:rsidRPr="00E71688">
        <w:rPr>
          <w:rFonts w:cs="Times New Roman"/>
          <w:i/>
          <w:iCs/>
          <w:noProof/>
          <w:szCs w:val="24"/>
        </w:rPr>
        <w:t>The Finite Element Method Linear Static and Dynamic Finite Element Analysis</w:t>
      </w:r>
      <w:r w:rsidRPr="00E71688">
        <w:rPr>
          <w:rFonts w:cs="Times New Roman"/>
          <w:noProof/>
          <w:szCs w:val="24"/>
        </w:rPr>
        <w:t>. New Jersey, 1978.</w:t>
      </w:r>
    </w:p>
    <w:p w14:paraId="3080304F"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[38]</w:t>
      </w:r>
      <w:r w:rsidRPr="00E71688">
        <w:rPr>
          <w:rFonts w:cs="Times New Roman"/>
          <w:noProof/>
          <w:szCs w:val="24"/>
        </w:rPr>
        <w:tab/>
        <w:t xml:space="preserve">L. Stepanova and S. Bronnikov, “A computational study of the mixed–mode crack behavior by molecular dynamics method and the multi – Parameter crack field description of classical fracture mechanics,” </w:t>
      </w:r>
      <w:r w:rsidRPr="00E71688">
        <w:rPr>
          <w:rFonts w:cs="Times New Roman"/>
          <w:i/>
          <w:iCs/>
          <w:noProof/>
          <w:szCs w:val="24"/>
        </w:rPr>
        <w:t>Theor. Appl. Fract. Mech.</w:t>
      </w:r>
      <w:r w:rsidRPr="00E71688">
        <w:rPr>
          <w:rFonts w:cs="Times New Roman"/>
          <w:noProof/>
          <w:szCs w:val="24"/>
        </w:rPr>
        <w:t>, vol. 109, no. June, p. 102691, 2020.</w:t>
      </w:r>
    </w:p>
    <w:p w14:paraId="40CA0F28"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[39]</w:t>
      </w:r>
      <w:r w:rsidRPr="00E71688">
        <w:rPr>
          <w:rFonts w:cs="Times New Roman"/>
          <w:noProof/>
          <w:szCs w:val="24"/>
        </w:rPr>
        <w:tab/>
        <w:t xml:space="preserve">T. Guan, Y. Sun, Z. Yang, Y. Jing, and W. Guo, “Multi-scale simulations of fracture behavior in CeO2,” </w:t>
      </w:r>
      <w:r w:rsidRPr="00E71688">
        <w:rPr>
          <w:rFonts w:cs="Times New Roman"/>
          <w:i/>
          <w:iCs/>
          <w:noProof/>
          <w:szCs w:val="24"/>
        </w:rPr>
        <w:t>Ceram. Int.</w:t>
      </w:r>
      <w:r w:rsidRPr="00E71688">
        <w:rPr>
          <w:rFonts w:cs="Times New Roman"/>
          <w:noProof/>
          <w:szCs w:val="24"/>
        </w:rPr>
        <w:t>, vol. 46, no. 18, pp. 28613–28620, 2020.</w:t>
      </w:r>
    </w:p>
    <w:p w14:paraId="22B43DCF"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[40]</w:t>
      </w:r>
      <w:r w:rsidRPr="00E71688">
        <w:rPr>
          <w:rFonts w:cs="Times New Roman"/>
          <w:noProof/>
          <w:szCs w:val="24"/>
        </w:rPr>
        <w:tab/>
        <w:t>W. Velilla Diaz, “Efecto de las fronteras de grano en la tenacidad a la fractura de materiales nano-cristalinos fisurados,” Universidad del Norte, Barranquilla,Colombia, 2019.</w:t>
      </w:r>
    </w:p>
    <w:p w14:paraId="77B40497"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[41]</w:t>
      </w:r>
      <w:r w:rsidRPr="00E71688">
        <w:rPr>
          <w:rFonts w:cs="Times New Roman"/>
          <w:noProof/>
          <w:szCs w:val="24"/>
        </w:rPr>
        <w:tab/>
        <w:t xml:space="preserve">W. Xu and L. P. Dávila, “Size dependence of elastic mechanical properties of nanocrystalline aluminum,” </w:t>
      </w:r>
      <w:r w:rsidRPr="00E71688">
        <w:rPr>
          <w:rFonts w:cs="Times New Roman"/>
          <w:i/>
          <w:iCs/>
          <w:noProof/>
          <w:szCs w:val="24"/>
        </w:rPr>
        <w:t>Mater. Sci. Eng. A</w:t>
      </w:r>
      <w:r w:rsidRPr="00E71688">
        <w:rPr>
          <w:rFonts w:cs="Times New Roman"/>
          <w:noProof/>
          <w:szCs w:val="24"/>
        </w:rPr>
        <w:t>, vol. 692, no. March, pp. 90–94, 2017.</w:t>
      </w:r>
    </w:p>
    <w:p w14:paraId="5020FF41" w14:textId="77777777" w:rsidR="00E71688" w:rsidRPr="00E71688" w:rsidRDefault="00E71688" w:rsidP="00E71688">
      <w:pPr>
        <w:widowControl w:val="0"/>
        <w:autoSpaceDE w:val="0"/>
        <w:autoSpaceDN w:val="0"/>
        <w:adjustRightInd w:val="0"/>
        <w:ind w:left="640" w:hanging="640"/>
        <w:rPr>
          <w:rFonts w:cs="Times New Roman"/>
          <w:noProof/>
          <w:szCs w:val="24"/>
        </w:rPr>
      </w:pPr>
      <w:r w:rsidRPr="00E71688">
        <w:rPr>
          <w:rFonts w:cs="Times New Roman"/>
          <w:noProof/>
          <w:szCs w:val="24"/>
        </w:rPr>
        <w:t>[42]</w:t>
      </w:r>
      <w:r w:rsidRPr="00E71688">
        <w:rPr>
          <w:rFonts w:cs="Times New Roman"/>
          <w:noProof/>
          <w:szCs w:val="24"/>
        </w:rPr>
        <w:tab/>
        <w:t xml:space="preserve">L. S. Morrissey and S. Nakhla, “Considerations when calculating the mechanical properties of single crystals and bulk polycrystals from molecular dynamics simulations,” </w:t>
      </w:r>
      <w:r w:rsidRPr="00E71688">
        <w:rPr>
          <w:rFonts w:cs="Times New Roman"/>
          <w:i/>
          <w:iCs/>
          <w:noProof/>
          <w:szCs w:val="24"/>
        </w:rPr>
        <w:t>Mol. Simul.</w:t>
      </w:r>
      <w:r w:rsidRPr="00E71688">
        <w:rPr>
          <w:rFonts w:cs="Times New Roman"/>
          <w:noProof/>
          <w:szCs w:val="24"/>
        </w:rPr>
        <w:t>, vol. 0, no. 0, pp. 1–10, 2020.</w:t>
      </w:r>
    </w:p>
    <w:p w14:paraId="1CED37C2" w14:textId="77777777" w:rsidR="00E71688" w:rsidRPr="00E71688" w:rsidRDefault="00E71688" w:rsidP="00E71688">
      <w:pPr>
        <w:widowControl w:val="0"/>
        <w:autoSpaceDE w:val="0"/>
        <w:autoSpaceDN w:val="0"/>
        <w:adjustRightInd w:val="0"/>
        <w:ind w:left="640" w:hanging="640"/>
        <w:rPr>
          <w:rFonts w:cs="Times New Roman"/>
          <w:noProof/>
        </w:rPr>
      </w:pPr>
      <w:r w:rsidRPr="00E71688">
        <w:rPr>
          <w:rFonts w:cs="Times New Roman"/>
          <w:noProof/>
          <w:szCs w:val="24"/>
        </w:rPr>
        <w:t>[43]</w:t>
      </w:r>
      <w:r w:rsidRPr="00E71688">
        <w:rPr>
          <w:rFonts w:cs="Times New Roman"/>
          <w:noProof/>
          <w:szCs w:val="24"/>
        </w:rPr>
        <w:tab/>
        <w:t xml:space="preserve">L. Yuan, D. Shan, and B. Guo, “Molecular dynamics simulation of tensile deformation of nano-single crystal aluminum,” </w:t>
      </w:r>
      <w:r w:rsidRPr="00E71688">
        <w:rPr>
          <w:rFonts w:cs="Times New Roman"/>
          <w:i/>
          <w:iCs/>
          <w:noProof/>
          <w:szCs w:val="24"/>
        </w:rPr>
        <w:t>J. Mater. Process. Technol.</w:t>
      </w:r>
      <w:r w:rsidRPr="00E71688">
        <w:rPr>
          <w:rFonts w:cs="Times New Roman"/>
          <w:noProof/>
          <w:szCs w:val="24"/>
        </w:rPr>
        <w:t>, vol. 184, no. 1–3, pp. 1–5, 2007.</w:t>
      </w:r>
    </w:p>
    <w:p w14:paraId="6B9390EE" w14:textId="79A8E24A" w:rsidR="00FE1A8E" w:rsidRPr="00E71688" w:rsidRDefault="00084A57">
      <w:pPr>
        <w:rPr>
          <w:lang w:val="en-US"/>
        </w:rPr>
      </w:pPr>
      <w:r>
        <w:lastRenderedPageBreak/>
        <w:fldChar w:fldCharType="end"/>
      </w:r>
    </w:p>
    <w:sectPr w:rsidR="00FE1A8E" w:rsidRPr="00E71688">
      <w:type w:val="continuous"/>
      <w:pgSz w:w="11906" w:h="16838"/>
      <w:pgMar w:top="1934" w:right="1418" w:bottom="1418" w:left="1418" w:header="1064" w:footer="0" w:gutter="0"/>
      <w:cols w:num="2" w:space="334"/>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E856E" w14:textId="77777777" w:rsidR="00B609DE" w:rsidRDefault="00B609DE">
      <w:r>
        <w:separator/>
      </w:r>
    </w:p>
  </w:endnote>
  <w:endnote w:type="continuationSeparator" w:id="0">
    <w:p w14:paraId="497FC24E" w14:textId="77777777" w:rsidR="00B609DE" w:rsidRDefault="00B60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ourier">
    <w:panose1 w:val="02070409020205020404"/>
    <w:charset w:val="01"/>
    <w:family w:val="roman"/>
    <w:pitch w:val="variable"/>
  </w:font>
  <w:font w:name="Square721 Cn BT">
    <w:altName w:val="Cambria"/>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F3AEF" w14:textId="77777777" w:rsidR="00B609DE" w:rsidRDefault="00B609DE">
      <w:r>
        <w:separator/>
      </w:r>
    </w:p>
  </w:footnote>
  <w:footnote w:type="continuationSeparator" w:id="0">
    <w:p w14:paraId="3195E524" w14:textId="77777777" w:rsidR="00B609DE" w:rsidRDefault="00B609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8E43" w14:textId="77777777" w:rsidR="00FE1A8E" w:rsidRDefault="00084A57">
    <w:pPr>
      <w:pStyle w:val="Encabezado"/>
      <w:rPr>
        <w:rFonts w:cs="Times New Roman"/>
      </w:rPr>
    </w:pPr>
    <w:r>
      <w:rPr>
        <w:rFonts w:cs="Times New Roman"/>
        <w:b/>
        <w:noProof/>
        <w:sz w:val="16"/>
        <w:szCs w:val="16"/>
      </w:rPr>
      <mc:AlternateContent>
        <mc:Choice Requires="wps">
          <w:drawing>
            <wp:anchor distT="45720" distB="45720" distL="114300" distR="114300" simplePos="0" relativeHeight="5" behindDoc="1" locked="0" layoutInCell="1" allowOverlap="1" wp14:anchorId="3B36745A" wp14:editId="331A6448">
              <wp:simplePos x="0" y="0"/>
              <wp:positionH relativeFrom="column">
                <wp:posOffset>3951605</wp:posOffset>
              </wp:positionH>
              <wp:positionV relativeFrom="paragraph">
                <wp:posOffset>3810</wp:posOffset>
              </wp:positionV>
              <wp:extent cx="2109470" cy="226695"/>
              <wp:effectExtent l="0" t="0" r="0" b="3175"/>
              <wp:wrapSquare wrapText="bothSides"/>
              <wp:docPr id="1" name="Cuadro de texto 2"/>
              <wp:cNvGraphicFramePr/>
              <a:graphic xmlns:a="http://schemas.openxmlformats.org/drawingml/2006/main">
                <a:graphicData uri="http://schemas.microsoft.com/office/word/2010/wordprocessingShape">
                  <wps:wsp>
                    <wps:cNvSpPr/>
                    <wps:spPr>
                      <a:xfrm>
                        <a:off x="0" y="0"/>
                        <a:ext cx="2108880" cy="226080"/>
                      </a:xfrm>
                      <a:prstGeom prst="rect">
                        <a:avLst/>
                      </a:prstGeom>
                      <a:noFill/>
                      <a:ln w="9360">
                        <a:noFill/>
                      </a:ln>
                    </wps:spPr>
                    <wps:style>
                      <a:lnRef idx="0">
                        <a:scrgbClr r="0" g="0" b="0"/>
                      </a:lnRef>
                      <a:fillRef idx="0">
                        <a:scrgbClr r="0" g="0" b="0"/>
                      </a:fillRef>
                      <a:effectRef idx="0">
                        <a:scrgbClr r="0" g="0" b="0"/>
                      </a:effectRef>
                      <a:fontRef idx="minor"/>
                    </wps:style>
                    <wps:txbx>
                      <w:txbxContent>
                        <w:sdt>
                          <w:sdtPr>
                            <w:id w:val="1588664808"/>
                            <w:docPartObj>
                              <w:docPartGallery w:val="Page Numbers (Top of Page)"/>
                              <w:docPartUnique/>
                            </w:docPartObj>
                          </w:sdtPr>
                          <w:sdtEndPr/>
                          <w:sdtContent>
                            <w:p w14:paraId="172EB01D" w14:textId="77777777" w:rsidR="00FE1A8E" w:rsidRDefault="00084A57">
                              <w:pPr>
                                <w:pStyle w:val="Contenidodelmarco"/>
                                <w:jc w:val="right"/>
                                <w:rPr>
                                  <w:sz w:val="16"/>
                                  <w:szCs w:val="16"/>
                                  <w:lang w:val="es-ES"/>
                                </w:rPr>
                              </w:pPr>
                              <w:r>
                                <w:rPr>
                                  <w:color w:val="000000"/>
                                  <w:sz w:val="16"/>
                                  <w:szCs w:val="16"/>
                                  <w:lang w:val="es-ES"/>
                                </w:rPr>
                                <w:t>XV CIBIM – 2022, Madrid</w:t>
                              </w:r>
                            </w:p>
                          </w:sdtContent>
                        </w:sdt>
                      </w:txbxContent>
                    </wps:txbx>
                    <wps:bodyPr>
                      <a:noAutofit/>
                    </wps:bodyPr>
                  </wps:wsp>
                </a:graphicData>
              </a:graphic>
            </wp:anchor>
          </w:drawing>
        </mc:Choice>
        <mc:Fallback>
          <w:pict>
            <v:rect w14:anchorId="3B36745A" id="Cuadro de texto 2" o:spid="_x0000_s1033" style="position:absolute;left:0;text-align:left;margin-left:311.15pt;margin-top:.3pt;width:166.1pt;height:17.85pt;z-index:-50331647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" filled="f" stroked="f" strokeweight=".26mm">
              <v:textbox>
                <w:txbxContent>
                  <w:sdt>
                    <w:sdtPr>
                      <w:id w:val="1588664808"/>
                      <w:docPartObj>
                        <w:docPartGallery w:val="Page Numbers (Top of Page)"/>
                        <w:docPartUnique/>
                      </w:docPartObj>
                    </w:sdtPr>
                    <w:sdtEndPr/>
                    <w:sdtContent>
                      <w:p w14:paraId="172EB01D" w14:textId="77777777" w:rsidR="00FE1A8E" w:rsidRDefault="00084A57">
                        <w:pPr>
                          <w:pStyle w:val="Contenidodelmarco"/>
                          <w:jc w:val="right"/>
                          <w:rPr>
                            <w:sz w:val="16"/>
                            <w:szCs w:val="16"/>
                            <w:lang w:val="es-ES"/>
                          </w:rPr>
                        </w:pPr>
                        <w:r>
                          <w:rPr>
                            <w:color w:val="000000"/>
                            <w:sz w:val="16"/>
                            <w:szCs w:val="16"/>
                            <w:lang w:val="es-ES"/>
                          </w:rPr>
                          <w:t>XV CIBIM – 2022, Madrid</w:t>
                        </w:r>
                      </w:p>
                    </w:sdtContent>
                  </w:sdt>
                </w:txbxContent>
              </v:textbox>
              <w10:wrap type="square"/>
            </v:rect>
          </w:pict>
        </mc:Fallback>
      </mc:AlternateContent>
    </w:r>
    <w:r>
      <w:rPr>
        <w:rFonts w:cs="Times New Roman"/>
        <w:b/>
        <w:sz w:val="16"/>
        <w:szCs w:val="16"/>
      </w:rPr>
      <w:fldChar w:fldCharType="begin"/>
    </w:r>
    <w:r>
      <w:rPr>
        <w:rFonts w:cs="Times New Roman"/>
        <w:b/>
        <w:sz w:val="16"/>
        <w:szCs w:val="16"/>
      </w:rPr>
      <w:instrText>PAGE</w:instrText>
    </w:r>
    <w:r>
      <w:rPr>
        <w:rFonts w:cs="Times New Roman"/>
        <w:b/>
        <w:sz w:val="16"/>
        <w:szCs w:val="16"/>
      </w:rPr>
      <w:fldChar w:fldCharType="separate"/>
    </w:r>
    <w:r>
      <w:rPr>
        <w:rFonts w:cs="Times New Roman"/>
        <w:b/>
        <w:sz w:val="16"/>
        <w:szCs w:val="16"/>
      </w:rPr>
      <w:t>8</w:t>
    </w:r>
    <w:r>
      <w:rPr>
        <w:rFonts w:cs="Times New Roman"/>
        <w:b/>
        <w:sz w:val="16"/>
        <w:szCs w:val="16"/>
      </w:rPr>
      <w:fldChar w:fldCharType="end"/>
    </w:r>
  </w:p>
  <w:p w14:paraId="3F4B8FAF" w14:textId="77777777" w:rsidR="00FE1A8E" w:rsidRDefault="00FE1A8E">
    <w:pPr>
      <w:pStyle w:val="Encabezado"/>
      <w:rPr>
        <w:rFonts w:ascii="Square721 Cn BT" w:hAnsi="Square721 Cn BT"/>
      </w:rPr>
    </w:pPr>
  </w:p>
  <w:p w14:paraId="50D40344" w14:textId="77777777" w:rsidR="00FE1A8E" w:rsidRDefault="00FE1A8E">
    <w:pPr>
      <w:pStyle w:val="Encabezado"/>
      <w:rPr>
        <w:rFonts w:ascii="Square721 Cn BT" w:hAnsi="Square721 Cn B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278B2" w14:textId="77777777" w:rsidR="00FE1A8E" w:rsidRDefault="00084A57">
    <w:pPr>
      <w:pStyle w:val="Encabezado"/>
      <w:tabs>
        <w:tab w:val="clear" w:pos="8838"/>
      </w:tabs>
      <w:jc w:val="right"/>
      <w:rPr>
        <w:rFonts w:ascii="Square721 Cn BT" w:hAnsi="Square721 Cn BT"/>
      </w:rPr>
    </w:pPr>
    <w:r>
      <w:rPr>
        <w:noProof/>
      </w:rPr>
      <mc:AlternateContent>
        <mc:Choice Requires="wps">
          <w:drawing>
            <wp:anchor distT="45720" distB="45720" distL="114300" distR="114300" simplePos="0" relativeHeight="9" behindDoc="1" locked="0" layoutInCell="1" allowOverlap="1" wp14:anchorId="1685F1DB" wp14:editId="2B9C0DEA">
              <wp:simplePos x="0" y="0"/>
              <wp:positionH relativeFrom="column">
                <wp:posOffset>-90805</wp:posOffset>
              </wp:positionH>
              <wp:positionV relativeFrom="paragraph">
                <wp:posOffset>-21590</wp:posOffset>
              </wp:positionV>
              <wp:extent cx="4615180" cy="266065"/>
              <wp:effectExtent l="0" t="0" r="0" b="1905"/>
              <wp:wrapSquare wrapText="bothSides"/>
              <wp:docPr id="3" name="Cuadro de texto 2"/>
              <wp:cNvGraphicFramePr/>
              <a:graphic xmlns:a="http://schemas.openxmlformats.org/drawingml/2006/main">
                <a:graphicData uri="http://schemas.microsoft.com/office/word/2010/wordprocessingShape">
                  <wps:wsp>
                    <wps:cNvSpPr/>
                    <wps:spPr>
                      <a:xfrm>
                        <a:off x="0" y="0"/>
                        <a:ext cx="4614480" cy="26532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sdt>
                          <w:sdtPr>
                            <w:id w:val="670923026"/>
                            <w:docPartObj>
                              <w:docPartGallery w:val="Page Numbers (Top of Page)"/>
                              <w:docPartUnique/>
                            </w:docPartObj>
                          </w:sdtPr>
                          <w:sdtEndPr/>
                          <w:sdtContent>
                            <w:p w14:paraId="74C123B2" w14:textId="77777777" w:rsidR="00FE1A8E" w:rsidRDefault="00691556">
                              <w:pPr>
                                <w:pStyle w:val="Contenidodelmarco"/>
                                <w:rPr>
                                  <w:sz w:val="16"/>
                                  <w:szCs w:val="16"/>
                                </w:rPr>
                              </w:pPr>
                            </w:p>
                          </w:sdtContent>
                        </w:sdt>
                      </w:txbxContent>
                    </wps:txbx>
                    <wps:bodyPr>
                      <a:noAutofit/>
                    </wps:bodyPr>
                  </wps:wsp>
                </a:graphicData>
              </a:graphic>
            </wp:anchor>
          </w:drawing>
        </mc:Choice>
        <mc:Fallback>
          <w:pict>
            <v:rect w14:anchorId="1685F1DB" id="_x0000_s1034" style="position:absolute;left:0;text-align:left;margin-left:-7.15pt;margin-top:-1.7pt;width:363.4pt;height:20.95pt;z-index:-50331647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" stroked="f" strokeweight=".26mm">
              <v:textbox>
                <w:txbxContent>
                  <w:sdt>
                    <w:sdtPr>
                      <w:id w:val="670923026"/>
                      <w:docPartObj>
                        <w:docPartGallery w:val="Page Numbers (Top of Page)"/>
                        <w:docPartUnique/>
                      </w:docPartObj>
                    </w:sdtPr>
                    <w:sdtEndPr/>
                    <w:sdtContent>
                      <w:p w14:paraId="74C123B2" w14:textId="77777777" w:rsidR="00FE1A8E" w:rsidRDefault="00691556">
                        <w:pPr>
                          <w:pStyle w:val="Contenidodelmarco"/>
                          <w:rPr>
                            <w:sz w:val="16"/>
                            <w:szCs w:val="16"/>
                          </w:rPr>
                        </w:pPr>
                      </w:p>
                    </w:sdtContent>
                  </w:sdt>
                </w:txbxContent>
              </v:textbox>
              <w10:wrap type="square"/>
            </v:rect>
          </w:pict>
        </mc:Fallback>
      </mc:AlternateContent>
    </w:r>
    <w:r>
      <w:rPr>
        <w:rFonts w:ascii="Square721 Cn BT" w:hAnsi="Square721 Cn BT"/>
      </w:rPr>
      <w:t xml:space="preserve">                           </w:t>
    </w:r>
    <w:r>
      <w:rPr>
        <w:rFonts w:cs="Times New Roman"/>
        <w:b/>
        <w:sz w:val="16"/>
        <w:szCs w:val="16"/>
      </w:rPr>
      <w:fldChar w:fldCharType="begin"/>
    </w:r>
    <w:r>
      <w:rPr>
        <w:rFonts w:cs="Times New Roman"/>
        <w:b/>
        <w:sz w:val="16"/>
        <w:szCs w:val="16"/>
      </w:rPr>
      <w:instrText>PAGE</w:instrText>
    </w:r>
    <w:r>
      <w:rPr>
        <w:rFonts w:cs="Times New Roman"/>
        <w:b/>
        <w:sz w:val="16"/>
        <w:szCs w:val="16"/>
      </w:rPr>
      <w:fldChar w:fldCharType="separate"/>
    </w:r>
    <w:r>
      <w:rPr>
        <w:rFonts w:cs="Times New Roman"/>
        <w:b/>
        <w:sz w:val="16"/>
        <w:szCs w:val="16"/>
      </w:rPr>
      <w:t>9</w:t>
    </w:r>
    <w:r>
      <w:rPr>
        <w:rFonts w:cs="Times New Roman"/>
        <w:b/>
        <w:sz w:val="16"/>
        <w:szCs w:val="16"/>
      </w:rPr>
      <w:fldChar w:fldCharType="end"/>
    </w:r>
  </w:p>
  <w:p w14:paraId="462D033B" w14:textId="77777777" w:rsidR="00FE1A8E" w:rsidRDefault="00FE1A8E">
    <w:pPr>
      <w:pStyle w:val="Encabezado"/>
      <w:tabs>
        <w:tab w:val="clear" w:pos="8838"/>
      </w:tabs>
      <w:jc w:val="right"/>
      <w:rPr>
        <w:rFonts w:ascii="Square721 Cn BT" w:hAnsi="Square721 Cn BT"/>
      </w:rPr>
    </w:pPr>
  </w:p>
  <w:p w14:paraId="47E1BB9C" w14:textId="77777777" w:rsidR="00FE1A8E" w:rsidRDefault="00FE1A8E">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4924F" w14:textId="77777777" w:rsidR="00FE1A8E" w:rsidRDefault="00084A57">
    <w:pPr>
      <w:pStyle w:val="Encabezado"/>
      <w:tabs>
        <w:tab w:val="left" w:pos="460"/>
      </w:tabs>
      <w:rPr>
        <w:rFonts w:cs="Times New Roman"/>
        <w:color w:val="003B68"/>
      </w:rPr>
    </w:pPr>
    <w:r>
      <w:rPr>
        <w:noProof/>
      </w:rPr>
      <w:drawing>
        <wp:anchor distT="0" distB="0" distL="0" distR="0" simplePos="0" relativeHeight="13" behindDoc="1" locked="0" layoutInCell="1" allowOverlap="1" wp14:anchorId="1CCE9C0F" wp14:editId="3D459AF4">
          <wp:simplePos x="0" y="0"/>
          <wp:positionH relativeFrom="margin">
            <wp:posOffset>3729355</wp:posOffset>
          </wp:positionH>
          <wp:positionV relativeFrom="paragraph">
            <wp:posOffset>-12700</wp:posOffset>
          </wp:positionV>
          <wp:extent cx="2021840" cy="533400"/>
          <wp:effectExtent l="0" t="0" r="0" b="0"/>
          <wp:wrapNone/>
          <wp:docPr id="5"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3" descr="Texto&#10;&#10;Descripción generada automáticamente"/>
                  <pic:cNvPicPr>
                    <a:picLocks noChangeAspect="1" noChangeArrowheads="1"/>
                  </pic:cNvPicPr>
                </pic:nvPicPr>
                <pic:blipFill>
                  <a:blip r:embed="rId1"/>
                  <a:stretch>
                    <a:fillRect/>
                  </a:stretch>
                </pic:blipFill>
                <pic:spPr bwMode="auto">
                  <a:xfrm>
                    <a:off x="0" y="0"/>
                    <a:ext cx="2021840" cy="533400"/>
                  </a:xfrm>
                  <a:prstGeom prst="rect">
                    <a:avLst/>
                  </a:prstGeom>
                </pic:spPr>
              </pic:pic>
            </a:graphicData>
          </a:graphic>
        </wp:anchor>
      </w:drawing>
    </w:r>
    <w:r>
      <w:rPr>
        <w:rFonts w:cs="Times New Roman"/>
        <w:color w:val="003B68"/>
      </w:rPr>
      <w:t xml:space="preserve">XV Congreso Iberoamericano de Ingeniería Mecánica </w:t>
    </w:r>
  </w:p>
  <w:p w14:paraId="4E5DE2B3" w14:textId="77777777" w:rsidR="00FE1A8E" w:rsidRPr="00CC0D53" w:rsidRDefault="00084A57">
    <w:pPr>
      <w:pStyle w:val="Encabezado"/>
      <w:tabs>
        <w:tab w:val="left" w:pos="460"/>
      </w:tabs>
      <w:rPr>
        <w:rFonts w:cs="Times New Roman"/>
        <w:color w:val="003B68"/>
        <w:lang w:val="pt-PT"/>
      </w:rPr>
    </w:pPr>
    <w:r w:rsidRPr="00CC0D53">
      <w:rPr>
        <w:rFonts w:cs="Times New Roman"/>
        <w:color w:val="003B68"/>
        <w:lang w:val="pt-PT"/>
      </w:rPr>
      <w:t>XV Congresso Ibero-americano de Engenharia Mecânica</w:t>
    </w:r>
  </w:p>
  <w:p w14:paraId="02CECC91" w14:textId="77777777" w:rsidR="00FE1A8E" w:rsidRDefault="00084A57">
    <w:pPr>
      <w:pStyle w:val="Encabezado"/>
      <w:rPr>
        <w:color w:val="003B68"/>
      </w:rPr>
    </w:pPr>
    <w:r>
      <w:rPr>
        <w:noProof/>
      </w:rPr>
      <mc:AlternateContent>
        <mc:Choice Requires="wps">
          <w:drawing>
            <wp:anchor distT="0" distB="0" distL="0" distR="0" simplePos="0" relativeHeight="11" behindDoc="1" locked="0" layoutInCell="1" allowOverlap="1" wp14:anchorId="325662A0" wp14:editId="371261C0">
              <wp:simplePos x="0" y="0"/>
              <wp:positionH relativeFrom="margin">
                <wp:align>left</wp:align>
              </wp:positionH>
              <wp:positionV relativeFrom="paragraph">
                <wp:posOffset>255270</wp:posOffset>
              </wp:positionV>
              <wp:extent cx="5761355" cy="10160"/>
              <wp:effectExtent l="0" t="0" r="31750" b="29845"/>
              <wp:wrapNone/>
              <wp:docPr id="6" name="Straight Connector 251"/>
              <wp:cNvGraphicFramePr/>
              <a:graphic xmlns:a="http://schemas.openxmlformats.org/drawingml/2006/main">
                <a:graphicData uri="http://schemas.microsoft.com/office/word/2010/wordprocessingShape">
                  <wps:wsp>
                    <wps:cNvCnPr/>
                    <wps:spPr>
                      <a:xfrm flipV="1">
                        <a:off x="0" y="0"/>
                        <a:ext cx="5760720" cy="7560"/>
                      </a:xfrm>
                      <a:prstGeom prst="line">
                        <a:avLst/>
                      </a:prstGeom>
                      <a:ln w="12600">
                        <a:solidFill>
                          <a:srgbClr val="005392"/>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0pt,20.1pt" to="453.55pt,20.65pt" ID="Straight Connector 251" stroked="t" style="position:absolute;flip:y;mso-position-horizontal:left;mso-position-horizontal-relative:margin" wp14:anchorId="5D9909C3">
              <v:stroke color="#005392" weight="12600" joinstyle="miter" endcap="flat"/>
              <v:fill o:detectmouseclick="t" on="false"/>
            </v:line>
          </w:pict>
        </mc:Fallback>
      </mc:AlternateContent>
    </w:r>
    <w:r>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7032D"/>
    <w:multiLevelType w:val="hybridMultilevel"/>
    <w:tmpl w:val="47F852B2"/>
    <w:lvl w:ilvl="0" w:tplc="16A65A72">
      <w:start w:val="1"/>
      <w:numFmt w:val="lowerLetter"/>
      <w:lvlText w:val="(%1)"/>
      <w:lvlJc w:val="left"/>
      <w:pPr>
        <w:ind w:left="720" w:hanging="360"/>
      </w:pPr>
      <w:rPr>
        <w:rFonts w:hint="default"/>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583C4A51"/>
    <w:multiLevelType w:val="multilevel"/>
    <w:tmpl w:val="8E8AE594"/>
    <w:lvl w:ilvl="0">
      <w:start w:val="1"/>
      <w:numFmt w:val="decimal"/>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2" w15:restartNumberingAfterBreak="0">
    <w:nsid w:val="73BE19EF"/>
    <w:multiLevelType w:val="multilevel"/>
    <w:tmpl w:val="491070DE"/>
    <w:lvl w:ilvl="0">
      <w:start w:val="1"/>
      <w:numFmt w:val="decimal"/>
      <w:pStyle w:val="Ttulo1"/>
      <w:suff w:val="space"/>
      <w:lvlText w:val="%1."/>
      <w:lvlJc w:val="left"/>
      <w:pPr>
        <w:tabs>
          <w:tab w:val="num" w:pos="0"/>
        </w:tabs>
        <w:ind w:left="0" w:firstLine="0"/>
      </w:pPr>
    </w:lvl>
    <w:lvl w:ilvl="1">
      <w:start w:val="1"/>
      <w:numFmt w:val="decimal"/>
      <w:pStyle w:val="Ttulo2"/>
      <w:suff w:val="space"/>
      <w:lvlText w:val="%1.%2."/>
      <w:lvlJc w:val="left"/>
      <w:pPr>
        <w:tabs>
          <w:tab w:val="num" w:pos="0"/>
        </w:tabs>
        <w:ind w:left="0" w:firstLine="0"/>
      </w:pPr>
    </w:lvl>
    <w:lvl w:ilvl="2">
      <w:start w:val="1"/>
      <w:numFmt w:val="decimal"/>
      <w:pStyle w:val="Ttulo3"/>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7B65FA3"/>
    <w:multiLevelType w:val="multilevel"/>
    <w:tmpl w:val="57DC29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961841333">
    <w:abstractNumId w:val="2"/>
  </w:num>
  <w:num w:numId="2" w16cid:durableId="1143043685">
    <w:abstractNumId w:val="1"/>
  </w:num>
  <w:num w:numId="3" w16cid:durableId="346369133">
    <w:abstractNumId w:val="3"/>
  </w:num>
  <w:num w:numId="4" w16cid:durableId="838034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3s7A0NzSyMDY0MDRU0lEKTi0uzszPAykwrAUA32f6ZSwAAAA="/>
  </w:docVars>
  <w:rsids>
    <w:rsidRoot w:val="00FE1A8E"/>
    <w:rsid w:val="00006025"/>
    <w:rsid w:val="00013954"/>
    <w:rsid w:val="000549DC"/>
    <w:rsid w:val="00084A57"/>
    <w:rsid w:val="00095020"/>
    <w:rsid w:val="00132D57"/>
    <w:rsid w:val="00143B21"/>
    <w:rsid w:val="001652EA"/>
    <w:rsid w:val="001A61F8"/>
    <w:rsid w:val="001D4040"/>
    <w:rsid w:val="001F3C07"/>
    <w:rsid w:val="00202662"/>
    <w:rsid w:val="00203AAC"/>
    <w:rsid w:val="00213ACC"/>
    <w:rsid w:val="0021596F"/>
    <w:rsid w:val="002D0147"/>
    <w:rsid w:val="00302C08"/>
    <w:rsid w:val="003275CB"/>
    <w:rsid w:val="0033793F"/>
    <w:rsid w:val="00346A3D"/>
    <w:rsid w:val="003A6B8C"/>
    <w:rsid w:val="003C0A62"/>
    <w:rsid w:val="003C5DB7"/>
    <w:rsid w:val="003F4BD6"/>
    <w:rsid w:val="004B2653"/>
    <w:rsid w:val="004D22CF"/>
    <w:rsid w:val="004D462F"/>
    <w:rsid w:val="004F70A4"/>
    <w:rsid w:val="00541FF5"/>
    <w:rsid w:val="005833E1"/>
    <w:rsid w:val="00585176"/>
    <w:rsid w:val="005E537E"/>
    <w:rsid w:val="00620C92"/>
    <w:rsid w:val="00631D9E"/>
    <w:rsid w:val="00646356"/>
    <w:rsid w:val="00647973"/>
    <w:rsid w:val="006774E1"/>
    <w:rsid w:val="00691556"/>
    <w:rsid w:val="006A65EE"/>
    <w:rsid w:val="006F4E35"/>
    <w:rsid w:val="006F7838"/>
    <w:rsid w:val="00710BD2"/>
    <w:rsid w:val="0075372E"/>
    <w:rsid w:val="00761E6C"/>
    <w:rsid w:val="007751D3"/>
    <w:rsid w:val="007839A7"/>
    <w:rsid w:val="007C789D"/>
    <w:rsid w:val="007D5824"/>
    <w:rsid w:val="00872186"/>
    <w:rsid w:val="00875A41"/>
    <w:rsid w:val="00892AB9"/>
    <w:rsid w:val="00917ADC"/>
    <w:rsid w:val="00975D8E"/>
    <w:rsid w:val="009D2551"/>
    <w:rsid w:val="009E3FAE"/>
    <w:rsid w:val="00A13B3F"/>
    <w:rsid w:val="00A163AB"/>
    <w:rsid w:val="00A4470E"/>
    <w:rsid w:val="00A46F42"/>
    <w:rsid w:val="00A51CB2"/>
    <w:rsid w:val="00AA4C37"/>
    <w:rsid w:val="00AD1A2A"/>
    <w:rsid w:val="00B60812"/>
    <w:rsid w:val="00B609DE"/>
    <w:rsid w:val="00B634CE"/>
    <w:rsid w:val="00B751F1"/>
    <w:rsid w:val="00B83DA5"/>
    <w:rsid w:val="00BA643A"/>
    <w:rsid w:val="00C40402"/>
    <w:rsid w:val="00C509EC"/>
    <w:rsid w:val="00C56BFF"/>
    <w:rsid w:val="00C81F8E"/>
    <w:rsid w:val="00CC0D53"/>
    <w:rsid w:val="00CC2744"/>
    <w:rsid w:val="00CF560A"/>
    <w:rsid w:val="00D3597D"/>
    <w:rsid w:val="00D67282"/>
    <w:rsid w:val="00E71688"/>
    <w:rsid w:val="00E77DDC"/>
    <w:rsid w:val="00E93C1B"/>
    <w:rsid w:val="00EA27E9"/>
    <w:rsid w:val="00F54AB3"/>
    <w:rsid w:val="00FA29EA"/>
    <w:rsid w:val="00FD7696"/>
    <w:rsid w:val="00FE1A8E"/>
    <w:rsid w:val="00FE2233"/>
    <w:rsid w:val="00FE62BC"/>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A976E"/>
  <w15:docId w15:val="{A08ADC27-B693-44E1-8079-5BD562C88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685"/>
    <w:pPr>
      <w:jc w:val="both"/>
    </w:pPr>
  </w:style>
  <w:style w:type="paragraph" w:styleId="Ttulo1">
    <w:name w:val="heading 1"/>
    <w:basedOn w:val="Prrafodelista"/>
    <w:next w:val="Normal"/>
    <w:link w:val="Ttulo1Car"/>
    <w:uiPriority w:val="9"/>
    <w:qFormat/>
    <w:rsid w:val="009C2728"/>
    <w:pPr>
      <w:numPr>
        <w:numId w:val="1"/>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E72566"/>
  </w:style>
  <w:style w:type="character" w:customStyle="1" w:styleId="EnlacedeInternet">
    <w:name w:val="Enlace de Internet"/>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qFormat/>
    <w:rsid w:val="003C6922"/>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3C6922"/>
    <w:rPr>
      <w:vertAlign w:val="superscript"/>
    </w:rPr>
  </w:style>
  <w:style w:type="character" w:customStyle="1" w:styleId="TextonotapieCar">
    <w:name w:val="Texto nota pie Car"/>
    <w:basedOn w:val="Fuentedeprrafopredeter"/>
    <w:link w:val="Textonotapie"/>
    <w:uiPriority w:val="99"/>
    <w:qFormat/>
    <w:rsid w:val="003C6922"/>
    <w:rPr>
      <w:sz w:val="20"/>
      <w:szCs w:val="20"/>
    </w:rPr>
  </w:style>
  <w:style w:type="character" w:customStyle="1" w:styleId="Nivel1CuerpotrabajoCar">
    <w:name w:val="Nivel 1 Cuerpo trabajo Car"/>
    <w:basedOn w:val="Fuentedeprrafopredeter"/>
    <w:link w:val="Nivel1Cuerpotrabajo"/>
    <w:qFormat/>
    <w:rsid w:val="00994F51"/>
    <w:rPr>
      <w:rFonts w:ascii="Arial" w:hAnsi="Arial"/>
      <w:sz w:val="24"/>
    </w:rPr>
  </w:style>
  <w:style w:type="character" w:customStyle="1" w:styleId="TextodegloboCar">
    <w:name w:val="Texto de globo Car"/>
    <w:basedOn w:val="Fuentedeprrafopredeter"/>
    <w:link w:val="Textodeglobo"/>
    <w:uiPriority w:val="99"/>
    <w:semiHidden/>
    <w:qFormat/>
    <w:rsid w:val="00240A3D"/>
    <w:rPr>
      <w:rFonts w:ascii="Tahoma" w:hAnsi="Tahoma" w:cs="Tahoma"/>
      <w:sz w:val="16"/>
      <w:szCs w:val="16"/>
    </w:rPr>
  </w:style>
  <w:style w:type="character" w:customStyle="1" w:styleId="Ttulo1Car">
    <w:name w:val="Título 1 Car"/>
    <w:basedOn w:val="Fuentedeprrafopredeter"/>
    <w:link w:val="Ttulo1"/>
    <w:uiPriority w:val="9"/>
    <w:qFormat/>
    <w:rsid w:val="009C2728"/>
    <w:rPr>
      <w:rFonts w:cs="Times New Roman"/>
      <w:b/>
      <w:color w:val="000000"/>
    </w:rPr>
  </w:style>
  <w:style w:type="character" w:customStyle="1" w:styleId="apple-converted-space">
    <w:name w:val="apple-converted-space"/>
    <w:basedOn w:val="Fuentedeprrafopredeter"/>
    <w:qFormat/>
    <w:rsid w:val="004C6E42"/>
  </w:style>
  <w:style w:type="character" w:customStyle="1" w:styleId="PiedepginaCar">
    <w:name w:val="Pie de página Car"/>
    <w:basedOn w:val="Fuentedeprrafopredeter"/>
    <w:link w:val="Piedepgina"/>
    <w:uiPriority w:val="99"/>
    <w:qFormat/>
    <w:rsid w:val="004009FF"/>
  </w:style>
  <w:style w:type="character" w:styleId="Refdecomentario">
    <w:name w:val="annotation reference"/>
    <w:basedOn w:val="Fuentedeprrafopredeter"/>
    <w:uiPriority w:val="99"/>
    <w:semiHidden/>
    <w:unhideWhenUsed/>
    <w:qFormat/>
    <w:rsid w:val="003E0B5B"/>
    <w:rPr>
      <w:sz w:val="16"/>
      <w:szCs w:val="16"/>
    </w:rPr>
  </w:style>
  <w:style w:type="character" w:customStyle="1" w:styleId="TextocomentarioCar">
    <w:name w:val="Texto comentario Car"/>
    <w:basedOn w:val="Fuentedeprrafopredeter"/>
    <w:link w:val="Textocomentario"/>
    <w:uiPriority w:val="99"/>
    <w:qFormat/>
    <w:rsid w:val="003E0B5B"/>
    <w:rPr>
      <w:sz w:val="20"/>
      <w:szCs w:val="20"/>
    </w:rPr>
  </w:style>
  <w:style w:type="character" w:customStyle="1" w:styleId="AsuntodelcomentarioCar">
    <w:name w:val="Asunto del comentario Car"/>
    <w:basedOn w:val="TextocomentarioCar"/>
    <w:link w:val="Asuntodelcomentario"/>
    <w:uiPriority w:val="99"/>
    <w:semiHidden/>
    <w:qFormat/>
    <w:rsid w:val="003E0B5B"/>
    <w:rPr>
      <w:b/>
      <w:bCs/>
      <w:sz w:val="20"/>
      <w:szCs w:val="20"/>
    </w:rPr>
  </w:style>
  <w:style w:type="character" w:customStyle="1" w:styleId="Ttulo5Car">
    <w:name w:val="Título 5 Car"/>
    <w:basedOn w:val="Fuentedeprrafopredeter"/>
    <w:link w:val="Ttulo5"/>
    <w:uiPriority w:val="9"/>
    <w:semiHidden/>
    <w:qFormat/>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qFormat/>
    <w:rsid w:val="00C67077"/>
    <w:rPr>
      <w:rFonts w:ascii="Courier New" w:eastAsia="Times New Roman" w:hAnsi="Courier New" w:cs="Courier New"/>
      <w:sz w:val="20"/>
      <w:szCs w:val="20"/>
    </w:rPr>
  </w:style>
  <w:style w:type="character" w:customStyle="1" w:styleId="hps">
    <w:name w:val="hps"/>
    <w:basedOn w:val="Fuentedeprrafopredeter"/>
    <w:qFormat/>
    <w:rsid w:val="003B0EB7"/>
  </w:style>
  <w:style w:type="character" w:customStyle="1" w:styleId="Ttulo3Car">
    <w:name w:val="Título 3 Car"/>
    <w:basedOn w:val="Fuentedeprrafopredeter"/>
    <w:link w:val="Ttulo3"/>
    <w:uiPriority w:val="9"/>
    <w:qFormat/>
    <w:rsid w:val="00960B8F"/>
    <w:rPr>
      <w:rFonts w:ascii="Times New Roman" w:hAnsi="Times New Roman" w:cs="Times New Roman"/>
      <w:b/>
      <w:color w:val="000000"/>
      <w:sz w:val="20"/>
      <w:szCs w:val="20"/>
    </w:rPr>
  </w:style>
  <w:style w:type="character" w:customStyle="1" w:styleId="Ttulo2Car">
    <w:name w:val="Título 2 Car"/>
    <w:basedOn w:val="Fuentedeprrafopredeter"/>
    <w:link w:val="Ttulo2"/>
    <w:uiPriority w:val="9"/>
    <w:qFormat/>
    <w:rsid w:val="009C2728"/>
    <w:rPr>
      <w:rFonts w:cs="Times New Roman"/>
      <w:b/>
      <w:color w:val="000000"/>
    </w:rPr>
  </w:style>
  <w:style w:type="character" w:customStyle="1" w:styleId="TextoCar">
    <w:name w:val="Texto Car"/>
    <w:link w:val="Texto"/>
    <w:qFormat/>
    <w:rsid w:val="009B4D5F"/>
    <w:rPr>
      <w:rFonts w:ascii="Arial" w:eastAsia="Calibri" w:hAnsi="Arial" w:cs="Times New Roman"/>
      <w:sz w:val="24"/>
      <w:szCs w:val="24"/>
    </w:rPr>
  </w:style>
  <w:style w:type="character" w:customStyle="1" w:styleId="SinespaciadoCar">
    <w:name w:val="Sin espaciado Car"/>
    <w:link w:val="Sinespaciado"/>
    <w:uiPriority w:val="1"/>
    <w:qFormat/>
    <w:rsid w:val="009B4D5F"/>
    <w:rPr>
      <w:rFonts w:ascii="Arial" w:hAnsi="Arial"/>
      <w:sz w:val="20"/>
      <w:lang w:val="es-ES"/>
    </w:rPr>
  </w:style>
  <w:style w:type="character" w:customStyle="1" w:styleId="TtuloN2Car">
    <w:name w:val="Título N2 Car"/>
    <w:link w:val="TtuloN2"/>
    <w:qFormat/>
    <w:rsid w:val="009B4D5F"/>
    <w:rPr>
      <w:rFonts w:ascii="Arial" w:eastAsia="Calibri" w:hAnsi="Arial" w:cs="Times New Roman"/>
      <w:i/>
      <w:sz w:val="24"/>
      <w:szCs w:val="24"/>
    </w:rPr>
  </w:style>
  <w:style w:type="character" w:customStyle="1" w:styleId="FiguraChar">
    <w:name w:val="Figura Char"/>
    <w:basedOn w:val="SinespaciadoCar"/>
    <w:link w:val="Figura"/>
    <w:qFormat/>
    <w:rsid w:val="00FC4259"/>
    <w:rPr>
      <w:rFonts w:ascii="Arial" w:hAnsi="Arial"/>
      <w:sz w:val="20"/>
      <w:lang w:val="es-ES"/>
    </w:rPr>
  </w:style>
  <w:style w:type="character" w:customStyle="1" w:styleId="DescripcinCar">
    <w:name w:val="Descripción Car"/>
    <w:basedOn w:val="Fuentedeprrafopredeter"/>
    <w:link w:val="Descripcin"/>
    <w:uiPriority w:val="35"/>
    <w:qFormat/>
    <w:rsid w:val="009C2728"/>
    <w:rPr>
      <w:rFonts w:eastAsiaTheme="minorEastAsia"/>
      <w:iCs/>
      <w:szCs w:val="18"/>
      <w:lang w:eastAsia="es-CO"/>
    </w:rPr>
  </w:style>
  <w:style w:type="character" w:customStyle="1" w:styleId="TablaTtuloChar">
    <w:name w:val="Tabla Título Char"/>
    <w:basedOn w:val="DescripcinCar"/>
    <w:link w:val="TablaTtulo"/>
    <w:qFormat/>
    <w:rsid w:val="00D72BDA"/>
    <w:rPr>
      <w:rFonts w:ascii="Times New Roman" w:eastAsiaTheme="minorEastAsia" w:hAnsi="Times New Roman"/>
      <w:iCs/>
      <w:sz w:val="18"/>
      <w:szCs w:val="18"/>
      <w:lang w:eastAsia="es-CO"/>
    </w:rPr>
  </w:style>
  <w:style w:type="character" w:customStyle="1" w:styleId="EcuacinChar">
    <w:name w:val="Ecuación Char"/>
    <w:basedOn w:val="SinespaciadoCar"/>
    <w:link w:val="Ecuacin"/>
    <w:qFormat/>
    <w:rsid w:val="00803946"/>
    <w:rPr>
      <w:rFonts w:ascii="Cambria Math" w:hAnsi="Cambria Math"/>
      <w:i/>
      <w:sz w:val="20"/>
      <w:szCs w:val="20"/>
      <w:lang w:val="es-ES"/>
    </w:rPr>
  </w:style>
  <w:style w:type="character" w:styleId="Mencinsinresolver">
    <w:name w:val="Unresolved Mention"/>
    <w:basedOn w:val="Fuentedeprrafopredeter"/>
    <w:uiPriority w:val="99"/>
    <w:semiHidden/>
    <w:unhideWhenUsed/>
    <w:qFormat/>
    <w:rsid w:val="00E00622"/>
    <w:rPr>
      <w:color w:val="605E5C"/>
      <w:shd w:val="clear" w:color="auto" w:fill="E1DFDD"/>
    </w:rPr>
  </w:style>
  <w:style w:type="character" w:styleId="Textodelmarcadordeposicin">
    <w:name w:val="Placeholder Text"/>
    <w:basedOn w:val="Fuentedeprrafopredeter"/>
    <w:uiPriority w:val="99"/>
    <w:semiHidden/>
    <w:qFormat/>
    <w:rsid w:val="000B6A96"/>
    <w:rPr>
      <w:color w:val="808080"/>
    </w:rPr>
  </w:style>
  <w:style w:type="character" w:customStyle="1" w:styleId="Destacado">
    <w:name w:val="Destacado"/>
    <w:qFormat/>
    <w:rsid w:val="00094870"/>
    <w:rPr>
      <w:i/>
      <w:iCs/>
    </w:rPr>
  </w:style>
  <w:style w:type="paragraph" w:styleId="Ttulo">
    <w:name w:val="Title"/>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ohit Devanagari"/>
    </w:rPr>
  </w:style>
  <w:style w:type="paragraph" w:styleId="Descripcin">
    <w:name w:val="caption"/>
    <w:basedOn w:val="Normal"/>
    <w:next w:val="Normal"/>
    <w:link w:val="DescripcinCar"/>
    <w:uiPriority w:val="35"/>
    <w:unhideWhenUsed/>
    <w:qFormat/>
    <w:rsid w:val="009C2728"/>
    <w:pPr>
      <w:spacing w:before="200"/>
    </w:pPr>
    <w:rPr>
      <w:rFonts w:eastAsiaTheme="minorEastAsia"/>
      <w:iCs/>
      <w:szCs w:val="18"/>
      <w:lang w:eastAsia="es-CO"/>
    </w:rPr>
  </w:style>
  <w:style w:type="paragraph" w:customStyle="1" w:styleId="ndice">
    <w:name w:val="Índice"/>
    <w:basedOn w:val="Normal"/>
    <w:qFormat/>
    <w:pPr>
      <w:suppressLineNumbers/>
    </w:pPr>
    <w:rPr>
      <w:rFonts w:cs="Lohit Devanagari"/>
    </w:rPr>
  </w:style>
  <w:style w:type="paragraph" w:customStyle="1" w:styleId="Default">
    <w:name w:val="Default"/>
    <w:qFormat/>
    <w:rsid w:val="00E72566"/>
    <w:rPr>
      <w:rFonts w:eastAsia="Calibri" w:cs="Times New Roman"/>
      <w:color w:val="000000"/>
      <w:sz w:val="24"/>
      <w:szCs w:val="24"/>
    </w:rPr>
  </w:style>
  <w:style w:type="paragraph" w:customStyle="1" w:styleId="Cabeceraypie">
    <w:name w:val="Cabecera y pie"/>
    <w:basedOn w:val="Normal"/>
    <w:qFormat/>
  </w:style>
  <w:style w:type="paragraph" w:styleId="Encabezado">
    <w:name w:val="header"/>
    <w:basedOn w:val="Normal"/>
    <w:link w:val="EncabezadoCar"/>
    <w:unhideWhenUsed/>
    <w:rsid w:val="00E72566"/>
    <w:pPr>
      <w:tabs>
        <w:tab w:val="center" w:pos="4419"/>
        <w:tab w:val="right" w:pos="8838"/>
      </w:tabs>
    </w:pPr>
  </w:style>
  <w:style w:type="paragraph" w:styleId="Prrafodelista">
    <w:name w:val="List Paragraph"/>
    <w:basedOn w:val="Normal"/>
    <w:uiPriority w:val="34"/>
    <w:qFormat/>
    <w:rsid w:val="00E72566"/>
    <w:pPr>
      <w:ind w:left="720"/>
      <w:contextualSpacing/>
    </w:pPr>
  </w:style>
  <w:style w:type="paragraph" w:styleId="Sinespaciado">
    <w:name w:val="No Spacing"/>
    <w:link w:val="SinespaciadoCar"/>
    <w:uiPriority w:val="1"/>
    <w:qFormat/>
    <w:rsid w:val="003C6922"/>
    <w:rPr>
      <w:rFonts w:ascii="Arial" w:hAnsi="Arial"/>
      <w:lang w:val="es-ES"/>
    </w:rPr>
  </w:style>
  <w:style w:type="paragraph" w:styleId="Textonotapie">
    <w:name w:val="footnote text"/>
    <w:basedOn w:val="Normal"/>
    <w:link w:val="TextonotapieCar"/>
    <w:uiPriority w:val="99"/>
    <w:unhideWhenUsed/>
    <w:rsid w:val="003C6922"/>
  </w:style>
  <w:style w:type="paragraph" w:customStyle="1" w:styleId="Nivel1Cuerpotrabajo">
    <w:name w:val="Nivel 1 Cuerpo trabajo"/>
    <w:basedOn w:val="Normal"/>
    <w:link w:val="Nivel1CuerpotrabajoCar"/>
    <w:qFormat/>
    <w:rsid w:val="00994F51"/>
    <w:pPr>
      <w:spacing w:line="360" w:lineRule="auto"/>
    </w:pPr>
    <w:rPr>
      <w:rFonts w:ascii="Arial" w:hAnsi="Arial"/>
      <w:sz w:val="24"/>
    </w:rPr>
  </w:style>
  <w:style w:type="paragraph" w:customStyle="1" w:styleId="ListParagraph1">
    <w:name w:val="List Paragraph1"/>
    <w:basedOn w:val="Normal"/>
    <w:qFormat/>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qFormat/>
    <w:rsid w:val="00240A3D"/>
    <w:rPr>
      <w:rFonts w:ascii="Tahoma" w:hAnsi="Tahoma" w:cs="Tahoma"/>
      <w:sz w:val="16"/>
      <w:szCs w:val="16"/>
    </w:rPr>
  </w:style>
  <w:style w:type="paragraph" w:styleId="Bibliografa">
    <w:name w:val="Bibliography"/>
    <w:basedOn w:val="Normal"/>
    <w:next w:val="Normal"/>
    <w:uiPriority w:val="37"/>
    <w:unhideWhenUsed/>
    <w:qFormat/>
    <w:rsid w:val="005F1C0B"/>
  </w:style>
  <w:style w:type="paragraph" w:styleId="Piedepgina">
    <w:name w:val="footer"/>
    <w:basedOn w:val="Normal"/>
    <w:link w:val="PiedepginaCar"/>
    <w:uiPriority w:val="99"/>
    <w:unhideWhenUsed/>
    <w:rsid w:val="004009FF"/>
    <w:pPr>
      <w:tabs>
        <w:tab w:val="center" w:pos="4419"/>
        <w:tab w:val="right" w:pos="8838"/>
      </w:tabs>
    </w:pPr>
  </w:style>
  <w:style w:type="paragraph" w:styleId="Revisin">
    <w:name w:val="Revision"/>
    <w:uiPriority w:val="99"/>
    <w:semiHidden/>
    <w:qFormat/>
    <w:rsid w:val="003E0B5B"/>
  </w:style>
  <w:style w:type="paragraph" w:styleId="Textocomentario">
    <w:name w:val="annotation text"/>
    <w:basedOn w:val="Normal"/>
    <w:link w:val="TextocomentarioCar"/>
    <w:uiPriority w:val="99"/>
    <w:unhideWhenUsed/>
    <w:qFormat/>
    <w:rsid w:val="003E0B5B"/>
  </w:style>
  <w:style w:type="paragraph" w:styleId="Asuntodelcomentario">
    <w:name w:val="annotation subject"/>
    <w:basedOn w:val="Textocomentario"/>
    <w:next w:val="Textocomentario"/>
    <w:link w:val="AsuntodelcomentarioCar"/>
    <w:uiPriority w:val="99"/>
    <w:semiHidden/>
    <w:unhideWhenUsed/>
    <w:qFormat/>
    <w:rsid w:val="003E0B5B"/>
    <w:rPr>
      <w:b/>
      <w:bCs/>
    </w:rPr>
  </w:style>
  <w:style w:type="paragraph" w:customStyle="1" w:styleId="AutoresNombres">
    <w:name w:val="Autores_Nombres"/>
    <w:qFormat/>
    <w:rsid w:val="003B0EB7"/>
    <w:pPr>
      <w:jc w:val="center"/>
    </w:pPr>
    <w:rPr>
      <w:rFonts w:ascii="Garamond" w:eastAsia="Times New Roman" w:hAnsi="Garamond" w:cs="Arial"/>
      <w:b/>
      <w:bCs/>
      <w:szCs w:val="32"/>
      <w:lang w:val="es-ES" w:eastAsia="es-ES"/>
    </w:rPr>
  </w:style>
  <w:style w:type="paragraph" w:customStyle="1" w:styleId="IEEEAuthorEmail">
    <w:name w:val="IEEE Author Email"/>
    <w:next w:val="Normal"/>
    <w:qFormat/>
    <w:rsid w:val="003B0EB7"/>
    <w:pPr>
      <w:spacing w:after="60"/>
      <w:jc w:val="center"/>
    </w:pPr>
    <w:rPr>
      <w:rFonts w:ascii="Courier" w:eastAsia="Times New Roman" w:hAnsi="Courier" w:cs="Times New Roman"/>
      <w:sz w:val="18"/>
      <w:szCs w:val="24"/>
      <w:lang w:val="en-GB" w:eastAsia="en-GB"/>
    </w:rPr>
  </w:style>
  <w:style w:type="paragraph" w:customStyle="1" w:styleId="FrameContents">
    <w:name w:val="Frame Contents"/>
    <w:basedOn w:val="Normal"/>
    <w:qFormat/>
    <w:rsid w:val="005D4349"/>
    <w:rPr>
      <w:rFonts w:eastAsia="Times New Roman" w:cs="Times New Roman"/>
      <w:szCs w:val="24"/>
      <w:lang w:eastAsia="es-ES"/>
    </w:rPr>
  </w:style>
  <w:style w:type="paragraph" w:customStyle="1" w:styleId="Texto">
    <w:name w:val="Texto"/>
    <w:link w:val="TextoCar"/>
    <w:qFormat/>
    <w:rsid w:val="009B4D5F"/>
    <w:pPr>
      <w:spacing w:line="360" w:lineRule="auto"/>
      <w:jc w:val="both"/>
    </w:pPr>
    <w:rPr>
      <w:rFonts w:ascii="Arial" w:hAnsi="Arial" w:cs="Times New Roman"/>
      <w:sz w:val="24"/>
      <w:szCs w:val="24"/>
    </w:rPr>
  </w:style>
  <w:style w:type="paragraph" w:customStyle="1" w:styleId="TtuloN2">
    <w:name w:val="Título N2"/>
    <w:link w:val="TtuloN2Car"/>
    <w:qFormat/>
    <w:rsid w:val="009B4D5F"/>
    <w:pPr>
      <w:spacing w:line="360" w:lineRule="auto"/>
      <w:jc w:val="both"/>
    </w:pPr>
    <w:rPr>
      <w:rFonts w:ascii="Arial"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paragraph" w:customStyle="1" w:styleId="Ecuacin">
    <w:name w:val="Ecuación"/>
    <w:basedOn w:val="Sinespaciado"/>
    <w:link w:val="EcuacinChar"/>
    <w:qFormat/>
    <w:rsid w:val="00803946"/>
    <w:pPr>
      <w:tabs>
        <w:tab w:val="left" w:pos="4111"/>
      </w:tabs>
      <w:jc w:val="center"/>
    </w:pPr>
    <w:rPr>
      <w:rFonts w:ascii="Cambria Math" w:hAnsi="Cambria Math"/>
      <w:i/>
    </w:rPr>
  </w:style>
  <w:style w:type="paragraph" w:styleId="NormalWeb">
    <w:name w:val="Normal (Web)"/>
    <w:basedOn w:val="Normal"/>
    <w:uiPriority w:val="99"/>
    <w:semiHidden/>
    <w:unhideWhenUsed/>
    <w:qFormat/>
    <w:rsid w:val="009B754F"/>
    <w:pPr>
      <w:spacing w:beforeAutospacing="1" w:afterAutospacing="1"/>
      <w:jc w:val="left"/>
    </w:pPr>
    <w:rPr>
      <w:rFonts w:eastAsiaTheme="minorEastAsia" w:cs="Times New Roman"/>
      <w:sz w:val="24"/>
      <w:szCs w:val="24"/>
      <w:lang w:val="en-US"/>
    </w:rPr>
  </w:style>
  <w:style w:type="paragraph" w:customStyle="1" w:styleId="Contenidodelmarco">
    <w:name w:val="Contenido del marco"/>
    <w:basedOn w:val="Normal"/>
    <w:qFormat/>
  </w:style>
  <w:style w:type="table" w:styleId="Tablaconcuadrcula">
    <w:name w:val="Table Grid"/>
    <w:basedOn w:val="Tablanormal"/>
    <w:uiPriority w:val="39"/>
    <w:rsid w:val="00E72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D4D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aconcuadrcula1">
    <w:name w:val="Tabla con cuadrícula1"/>
    <w:basedOn w:val="Tablanormal"/>
    <w:uiPriority w:val="39"/>
    <w:rsid w:val="00CC292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39"/>
    <w:rsid w:val="00CC292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F33C05"/>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F87F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mpacheoagamez@correo.unicodoba.edu.co" TargetMode="Externa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wilmer.velilla@uach.cl"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vlancheros@correo.unicordoba.edu.co" TargetMode="Externa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22573</Words>
  <Characters>124153</Characters>
  <Application>Microsoft Office Word</Application>
  <DocSecurity>0</DocSecurity>
  <Lines>1034</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dc:description/>
  <cp:lastModifiedBy>Miguel José  Pacheco Agámez</cp:lastModifiedBy>
  <cp:revision>6</cp:revision>
  <cp:lastPrinted>2016-05-06T04:48:00Z</cp:lastPrinted>
  <dcterms:created xsi:type="dcterms:W3CDTF">2022-09-16T22:53:00Z</dcterms:created>
  <dcterms:modified xsi:type="dcterms:W3CDTF">2022-09-16T23:47:00Z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http://www.zotero.org/styles/ieee</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http://www.zotero.org/styles/harvard-cite-them-right</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http://www.zotero.org/styles/vancouver</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Chicago Manual of Style 17th edition (author-date)</vt:lpwstr>
  </property>
  <property fmtid="{D5CDD505-2E9C-101B-9397-08002B2CF9AE}" pid="23" name="Mendeley Recent Style Name 5_1">
    <vt:lpwstr>Cite Them Right 10th edition - Harvard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8th edition</vt:lpwstr>
  </property>
  <property fmtid="{D5CDD505-2E9C-101B-9397-08002B2CF9AE}" pid="27" name="Mendeley Recent Style Name 9_1">
    <vt:lpwstr>Vancouver</vt:lpwstr>
  </property>
  <property fmtid="{D5CDD505-2E9C-101B-9397-08002B2CF9AE}" pid="28" name="Mendeley Unique User Id_1">
    <vt:lpwstr>887c7a55-a1a3-3789-8bd1-789fa36a09cd</vt:lpwstr>
  </property>
  <property fmtid="{D5CDD505-2E9C-101B-9397-08002B2CF9AE}" pid="29" name="ScaleCrop">
    <vt:bool>false</vt:bool>
  </property>
  <property fmtid="{D5CDD505-2E9C-101B-9397-08002B2CF9AE}" pid="30" name="ShareDoc">
    <vt:bool>false</vt:bool>
  </property>
</Properties>
</file>