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2AD" w14:textId="77777777" w:rsidR="00B059E0" w:rsidRPr="009636B4" w:rsidRDefault="00B059E0" w:rsidP="00B059E0">
      <w:pPr>
        <w:spacing w:line="240" w:lineRule="auto"/>
        <w:ind w:firstLine="0"/>
        <w:jc w:val="center"/>
        <w:rPr>
          <w:b/>
          <w:bCs/>
          <w:sz w:val="28"/>
          <w:szCs w:val="28"/>
          <w:lang w:val="es-419"/>
        </w:rPr>
      </w:pPr>
      <w:r w:rsidRPr="009636B4">
        <w:rPr>
          <w:b/>
          <w:bCs/>
          <w:sz w:val="28"/>
          <w:szCs w:val="28"/>
          <w:lang w:val="es-419"/>
        </w:rPr>
        <w:t>Habilidades de lectura en niños con síndrome de Irlen</w:t>
      </w:r>
    </w:p>
    <w:p w14:paraId="3618516D" w14:textId="77777777" w:rsidR="00B059E0" w:rsidRPr="009636B4" w:rsidRDefault="00B059E0" w:rsidP="00B059E0">
      <w:pPr>
        <w:spacing w:line="240" w:lineRule="auto"/>
        <w:ind w:firstLine="0"/>
        <w:jc w:val="center"/>
        <w:rPr>
          <w:sz w:val="28"/>
          <w:szCs w:val="28"/>
          <w:lang w:val="es-ES"/>
        </w:rPr>
      </w:pPr>
    </w:p>
    <w:p w14:paraId="0B70A9D5" w14:textId="07D3DCE3" w:rsidR="005067D5" w:rsidRPr="009636B4" w:rsidRDefault="005067D5" w:rsidP="00B059E0">
      <w:pPr>
        <w:spacing w:line="240" w:lineRule="auto"/>
        <w:ind w:firstLine="0"/>
        <w:jc w:val="center"/>
        <w:rPr>
          <w:sz w:val="28"/>
          <w:szCs w:val="28"/>
          <w:lang w:val="en-US"/>
        </w:rPr>
      </w:pPr>
      <w:r w:rsidRPr="009636B4">
        <w:rPr>
          <w:sz w:val="28"/>
          <w:szCs w:val="28"/>
          <w:lang w:val="en-US"/>
        </w:rPr>
        <w:t xml:space="preserve">Reading skills in children with Irlen </w:t>
      </w:r>
      <w:r w:rsidR="009636B4">
        <w:rPr>
          <w:sz w:val="28"/>
          <w:szCs w:val="28"/>
          <w:lang w:val="en-US"/>
        </w:rPr>
        <w:t>S</w:t>
      </w:r>
      <w:r w:rsidRPr="009636B4">
        <w:rPr>
          <w:sz w:val="28"/>
          <w:szCs w:val="28"/>
          <w:lang w:val="en-US"/>
        </w:rPr>
        <w:t>yndrome</w:t>
      </w:r>
    </w:p>
    <w:p w14:paraId="6576FE5A" w14:textId="77777777" w:rsidR="00B059E0" w:rsidRDefault="00B059E0" w:rsidP="00B059E0">
      <w:pPr>
        <w:ind w:firstLine="0"/>
        <w:rPr>
          <w:lang w:val="en-US" w:eastAsia="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059E0" w:rsidRPr="00B059E0" w14:paraId="2810D251" w14:textId="77777777" w:rsidTr="009636B4">
        <w:trPr>
          <w:trHeight w:val="1751"/>
        </w:trPr>
        <w:tc>
          <w:tcPr>
            <w:tcW w:w="4675" w:type="dxa"/>
          </w:tcPr>
          <w:p w14:paraId="44444B35" w14:textId="77777777" w:rsidR="00B059E0" w:rsidRPr="00C345AA" w:rsidRDefault="00B059E0" w:rsidP="00B059E0">
            <w:pPr>
              <w:pStyle w:val="Authornames"/>
              <w:spacing w:before="0" w:line="240" w:lineRule="auto"/>
              <w:rPr>
                <w:b/>
                <w:bCs/>
                <w:sz w:val="24"/>
                <w:lang w:val="es-EC"/>
              </w:rPr>
            </w:pPr>
            <w:r w:rsidRPr="00C345AA">
              <w:rPr>
                <w:b/>
                <w:bCs/>
                <w:sz w:val="24"/>
                <w:lang w:val="es-EC"/>
              </w:rPr>
              <w:t xml:space="preserve">R. David Tacuri-Reino </w:t>
            </w:r>
          </w:p>
          <w:p w14:paraId="7FF7E0D2" w14:textId="79708932" w:rsidR="00B059E0" w:rsidRDefault="00B059E0" w:rsidP="00B059E0">
            <w:pPr>
              <w:pStyle w:val="Affiliation"/>
              <w:spacing w:before="0" w:line="240" w:lineRule="auto"/>
              <w:rPr>
                <w:i w:val="0"/>
                <w:iCs/>
                <w:lang w:val="es-EC"/>
              </w:rPr>
            </w:pPr>
            <w:r w:rsidRPr="00C345AA">
              <w:rPr>
                <w:i w:val="0"/>
                <w:iCs/>
                <w:lang w:val="es-EC"/>
              </w:rPr>
              <w:t>Universidad Nacional de Educación a Distancia, España</w:t>
            </w:r>
          </w:p>
          <w:p w14:paraId="6D4C4011" w14:textId="197C8470" w:rsidR="00763E8C" w:rsidRPr="00C345AA" w:rsidRDefault="00763E8C" w:rsidP="00B059E0">
            <w:pPr>
              <w:pStyle w:val="Affiliation"/>
              <w:spacing w:before="0" w:line="240" w:lineRule="auto"/>
              <w:rPr>
                <w:i w:val="0"/>
                <w:iCs/>
                <w:lang w:val="es-EC"/>
              </w:rPr>
            </w:pPr>
            <w:r w:rsidRPr="00763E8C">
              <w:rPr>
                <w:i w:val="0"/>
                <w:iCs/>
                <w:highlight w:val="yellow"/>
                <w:lang w:val="es-EC"/>
              </w:rPr>
              <w:t>Universidad de Cuenca, Ecuador</w:t>
            </w:r>
          </w:p>
          <w:p w14:paraId="2DDCAE1C" w14:textId="77777777" w:rsidR="00B059E0" w:rsidRPr="00C345AA" w:rsidRDefault="00000000" w:rsidP="00B059E0">
            <w:pPr>
              <w:spacing w:line="240" w:lineRule="auto"/>
              <w:ind w:firstLine="0"/>
              <w:rPr>
                <w:i/>
                <w:iCs/>
                <w:szCs w:val="24"/>
                <w:lang w:val="es-EC"/>
              </w:rPr>
            </w:pPr>
            <w:hyperlink r:id="rId8" w:history="1">
              <w:r w:rsidR="00B059E0" w:rsidRPr="00C345AA">
                <w:rPr>
                  <w:rStyle w:val="Hipervnculo"/>
                  <w:i/>
                  <w:iCs/>
                  <w:szCs w:val="24"/>
                  <w:lang w:val="es-EC"/>
                </w:rPr>
                <w:t>https://orcid.org/0000-0002-6134-6211</w:t>
              </w:r>
            </w:hyperlink>
            <w:r w:rsidR="00B059E0" w:rsidRPr="00C345AA">
              <w:rPr>
                <w:i/>
                <w:iCs/>
                <w:szCs w:val="24"/>
                <w:lang w:val="es-EC"/>
              </w:rPr>
              <w:t xml:space="preserve"> </w:t>
            </w:r>
          </w:p>
          <w:p w14:paraId="01C2D8F3" w14:textId="754F6269" w:rsidR="00B059E0" w:rsidRPr="00C345AA" w:rsidRDefault="00000000" w:rsidP="00B059E0">
            <w:pPr>
              <w:pStyle w:val="Authornames"/>
              <w:spacing w:before="0" w:line="240" w:lineRule="auto"/>
              <w:rPr>
                <w:i/>
                <w:iCs/>
                <w:sz w:val="24"/>
                <w:lang w:val="es-EC"/>
              </w:rPr>
            </w:pPr>
            <w:hyperlink r:id="rId9" w:history="1">
              <w:r w:rsidR="00B059E0" w:rsidRPr="00C345AA">
                <w:rPr>
                  <w:rStyle w:val="Hipervnculo"/>
                  <w:i/>
                  <w:iCs/>
                  <w:sz w:val="24"/>
                  <w:lang w:val="es-EC"/>
                </w:rPr>
                <w:t>rtacuri1@alumno.uned.es</w:t>
              </w:r>
            </w:hyperlink>
          </w:p>
        </w:tc>
        <w:tc>
          <w:tcPr>
            <w:tcW w:w="4675" w:type="dxa"/>
          </w:tcPr>
          <w:p w14:paraId="46728E45" w14:textId="77777777" w:rsidR="00B059E0" w:rsidRPr="00C345AA" w:rsidRDefault="00B059E0" w:rsidP="00B059E0">
            <w:pPr>
              <w:pStyle w:val="Authornames"/>
              <w:spacing w:before="0" w:line="240" w:lineRule="auto"/>
              <w:jc w:val="both"/>
              <w:rPr>
                <w:b/>
                <w:bCs/>
                <w:sz w:val="24"/>
                <w:lang w:val="es-ES"/>
              </w:rPr>
            </w:pPr>
            <w:r w:rsidRPr="00C345AA">
              <w:rPr>
                <w:b/>
                <w:bCs/>
                <w:sz w:val="24"/>
                <w:lang w:val="es-ES"/>
              </w:rPr>
              <w:t>M. Rosa Elosua</w:t>
            </w:r>
          </w:p>
          <w:p w14:paraId="33C8D777" w14:textId="77777777" w:rsidR="00B059E0" w:rsidRPr="00C345AA" w:rsidRDefault="00B059E0" w:rsidP="00B059E0">
            <w:pPr>
              <w:pStyle w:val="Affiliation"/>
              <w:spacing w:before="0" w:line="240" w:lineRule="auto"/>
              <w:jc w:val="both"/>
              <w:rPr>
                <w:i w:val="0"/>
                <w:iCs/>
                <w:lang w:val="es-EC"/>
              </w:rPr>
            </w:pPr>
            <w:r w:rsidRPr="00C345AA">
              <w:rPr>
                <w:i w:val="0"/>
                <w:iCs/>
                <w:lang w:val="es-EC"/>
              </w:rPr>
              <w:t>Universidad Nacional de Educación a Distancia, España</w:t>
            </w:r>
          </w:p>
          <w:p w14:paraId="3AFEC75F" w14:textId="77777777" w:rsidR="00B059E0" w:rsidRPr="00C345AA" w:rsidRDefault="00000000" w:rsidP="00B059E0">
            <w:pPr>
              <w:spacing w:line="240" w:lineRule="auto"/>
              <w:ind w:firstLine="0"/>
              <w:jc w:val="both"/>
              <w:rPr>
                <w:i/>
                <w:iCs/>
                <w:szCs w:val="24"/>
              </w:rPr>
            </w:pPr>
            <w:hyperlink r:id="rId10" w:history="1">
              <w:r w:rsidR="00B059E0" w:rsidRPr="00C345AA">
                <w:rPr>
                  <w:rStyle w:val="Hipervnculo"/>
                  <w:i/>
                  <w:iCs/>
                  <w:szCs w:val="24"/>
                </w:rPr>
                <w:t>https://orcid.org/0000-0003-0122-6231</w:t>
              </w:r>
            </w:hyperlink>
            <w:r w:rsidR="00B059E0" w:rsidRPr="00C345AA">
              <w:rPr>
                <w:i/>
                <w:iCs/>
                <w:szCs w:val="24"/>
              </w:rPr>
              <w:t xml:space="preserve"> </w:t>
            </w:r>
          </w:p>
          <w:p w14:paraId="2B098A71" w14:textId="5B336ADE" w:rsidR="00B059E0" w:rsidRPr="00B059E0" w:rsidRDefault="00000000" w:rsidP="00B059E0">
            <w:pPr>
              <w:ind w:firstLine="0"/>
              <w:rPr>
                <w:lang w:val="es-EC" w:eastAsia="en-GB"/>
              </w:rPr>
            </w:pPr>
            <w:hyperlink r:id="rId11" w:history="1">
              <w:r w:rsidR="00B059E0" w:rsidRPr="00C345AA">
                <w:rPr>
                  <w:rStyle w:val="Hipervnculo"/>
                  <w:i/>
                  <w:iCs/>
                  <w:szCs w:val="24"/>
                </w:rPr>
                <w:t>melosua@psi.uned.es</w:t>
              </w:r>
            </w:hyperlink>
          </w:p>
        </w:tc>
      </w:tr>
      <w:tr w:rsidR="00B059E0" w:rsidRPr="00B059E0" w14:paraId="249A2BFB" w14:textId="77777777" w:rsidTr="009636B4">
        <w:trPr>
          <w:trHeight w:val="1265"/>
        </w:trPr>
        <w:tc>
          <w:tcPr>
            <w:tcW w:w="4675" w:type="dxa"/>
          </w:tcPr>
          <w:p w14:paraId="78AF7393" w14:textId="77777777" w:rsidR="00B059E0" w:rsidRPr="00C345AA" w:rsidRDefault="00B059E0" w:rsidP="00B059E0">
            <w:pPr>
              <w:pStyle w:val="Authornames"/>
              <w:spacing w:before="0" w:line="240" w:lineRule="auto"/>
              <w:jc w:val="both"/>
              <w:rPr>
                <w:b/>
                <w:bCs/>
                <w:sz w:val="24"/>
                <w:lang w:val="es-EC"/>
              </w:rPr>
            </w:pPr>
            <w:r w:rsidRPr="00C345AA">
              <w:rPr>
                <w:b/>
                <w:bCs/>
                <w:sz w:val="24"/>
                <w:lang w:val="es-EC"/>
              </w:rPr>
              <w:t>Marcelo Bernal</w:t>
            </w:r>
          </w:p>
          <w:p w14:paraId="495C1D05" w14:textId="77777777" w:rsidR="009662A1" w:rsidRPr="00C345AA" w:rsidRDefault="009662A1" w:rsidP="009662A1">
            <w:pPr>
              <w:pStyle w:val="Affiliation"/>
              <w:spacing w:before="0" w:line="240" w:lineRule="auto"/>
              <w:rPr>
                <w:i w:val="0"/>
                <w:iCs/>
                <w:lang w:val="es-EC"/>
              </w:rPr>
            </w:pPr>
            <w:r w:rsidRPr="00C345AA">
              <w:rPr>
                <w:i w:val="0"/>
                <w:iCs/>
                <w:lang w:val="es-EC"/>
              </w:rPr>
              <w:t>Universidad de Cuenca, Ecuador</w:t>
            </w:r>
          </w:p>
          <w:p w14:paraId="40DD7EA4" w14:textId="77777777" w:rsidR="00B059E0" w:rsidRPr="00C345AA" w:rsidRDefault="00000000" w:rsidP="00B059E0">
            <w:pPr>
              <w:pStyle w:val="Affiliation"/>
              <w:spacing w:before="0" w:line="240" w:lineRule="auto"/>
              <w:jc w:val="both"/>
              <w:rPr>
                <w:i w:val="0"/>
                <w:iCs/>
                <w:lang w:val="es-EC"/>
              </w:rPr>
            </w:pPr>
            <w:hyperlink r:id="rId12" w:history="1">
              <w:r w:rsidR="00B059E0" w:rsidRPr="00C345AA">
                <w:rPr>
                  <w:rStyle w:val="Hipervnculo"/>
                  <w:lang w:val="es-EC"/>
                </w:rPr>
                <w:t>https://orcid.org/0000-0002-7802-3793</w:t>
              </w:r>
            </w:hyperlink>
            <w:r w:rsidR="00B059E0" w:rsidRPr="00C345AA">
              <w:rPr>
                <w:i w:val="0"/>
                <w:iCs/>
                <w:lang w:val="es-EC"/>
              </w:rPr>
              <w:t xml:space="preserve"> </w:t>
            </w:r>
          </w:p>
          <w:p w14:paraId="0C501E71" w14:textId="77777777" w:rsidR="00B059E0" w:rsidRPr="00B059E0" w:rsidRDefault="00000000" w:rsidP="00B059E0">
            <w:pPr>
              <w:pStyle w:val="Affiliation"/>
              <w:spacing w:before="0" w:line="240" w:lineRule="auto"/>
              <w:jc w:val="both"/>
              <w:rPr>
                <w:i w:val="0"/>
                <w:iCs/>
                <w:lang w:val="es-EC"/>
              </w:rPr>
            </w:pPr>
            <w:hyperlink r:id="rId13" w:history="1">
              <w:r w:rsidR="00B059E0" w:rsidRPr="00C345AA">
                <w:rPr>
                  <w:rStyle w:val="Hipervnculo"/>
                  <w:lang w:val="es-EC"/>
                </w:rPr>
                <w:t>marcelo.bernal@ucuenca.edu.ec</w:t>
              </w:r>
            </w:hyperlink>
            <w:r w:rsidR="00B059E0" w:rsidRPr="00B059E0">
              <w:rPr>
                <w:i w:val="0"/>
                <w:iCs/>
                <w:lang w:val="es-EC"/>
              </w:rPr>
              <w:t xml:space="preserve"> </w:t>
            </w:r>
          </w:p>
          <w:p w14:paraId="28613FEC" w14:textId="77777777" w:rsidR="00B059E0" w:rsidRPr="00B059E0" w:rsidRDefault="00B059E0" w:rsidP="00B059E0">
            <w:pPr>
              <w:ind w:firstLine="0"/>
              <w:rPr>
                <w:lang w:val="es-EC" w:eastAsia="en-GB"/>
              </w:rPr>
            </w:pPr>
          </w:p>
        </w:tc>
        <w:tc>
          <w:tcPr>
            <w:tcW w:w="4675" w:type="dxa"/>
          </w:tcPr>
          <w:p w14:paraId="35DE1A0D" w14:textId="77777777" w:rsidR="00B059E0" w:rsidRPr="00B059E0" w:rsidRDefault="00B059E0" w:rsidP="00B059E0">
            <w:pPr>
              <w:ind w:firstLine="0"/>
              <w:rPr>
                <w:lang w:val="es-EC" w:eastAsia="en-GB"/>
              </w:rPr>
            </w:pPr>
          </w:p>
        </w:tc>
      </w:tr>
    </w:tbl>
    <w:p w14:paraId="2D6828E9" w14:textId="5534A5E6" w:rsidR="00D21D8C" w:rsidRPr="009636B4" w:rsidRDefault="00F32E15" w:rsidP="00B059E0">
      <w:pPr>
        <w:spacing w:line="240" w:lineRule="auto"/>
        <w:ind w:firstLine="0"/>
        <w:jc w:val="both"/>
        <w:rPr>
          <w:b/>
          <w:bCs/>
          <w:sz w:val="22"/>
        </w:rPr>
      </w:pPr>
      <w:r w:rsidRPr="009636B4">
        <w:rPr>
          <w:b/>
          <w:bCs/>
          <w:sz w:val="22"/>
        </w:rPr>
        <w:t>Resumen</w:t>
      </w:r>
    </w:p>
    <w:p w14:paraId="284259B9" w14:textId="1C124AAF" w:rsidR="00DA1E11" w:rsidRPr="009636B4" w:rsidRDefault="07AE4154" w:rsidP="00170CAA">
      <w:pPr>
        <w:spacing w:line="240" w:lineRule="auto"/>
        <w:ind w:firstLine="0"/>
        <w:jc w:val="both"/>
        <w:rPr>
          <w:sz w:val="22"/>
          <w:lang w:val="es-EC"/>
        </w:rPr>
      </w:pPr>
      <w:r w:rsidRPr="009636B4">
        <w:rPr>
          <w:sz w:val="22"/>
          <w:lang w:val="es-EC"/>
        </w:rPr>
        <w:t xml:space="preserve">Las distorsiones </w:t>
      </w:r>
      <w:r w:rsidR="007E4369" w:rsidRPr="009636B4">
        <w:rPr>
          <w:sz w:val="22"/>
          <w:lang w:val="es-EC"/>
        </w:rPr>
        <w:t>visuales perceptivas</w:t>
      </w:r>
      <w:r w:rsidRPr="009636B4">
        <w:rPr>
          <w:sz w:val="22"/>
          <w:lang w:val="es-EC"/>
        </w:rPr>
        <w:t xml:space="preserve"> y las molestias físicas que provocan dificultades en la lectura son algunas de las características del síndrome de Irlen. Este estudio examinó si los estudiantes con síndrome de Irlen, evaluados con diferentes tareas de lectura, presentan diferencias en las habilidades de lectura en comparación con aquellos sin la condición. Los participantes fueron 110 alumnos de cuarto y quinto grado (edad media = 8</w:t>
      </w:r>
      <w:r w:rsidR="003A4814" w:rsidRPr="009636B4">
        <w:rPr>
          <w:sz w:val="22"/>
          <w:lang w:val="es-EC"/>
        </w:rPr>
        <w:t>.</w:t>
      </w:r>
      <w:r w:rsidRPr="009636B4">
        <w:rPr>
          <w:sz w:val="22"/>
          <w:lang w:val="es-EC"/>
        </w:rPr>
        <w:t>6 años), 55 con síndrome de Irlen (grupo G</w:t>
      </w:r>
      <w:r w:rsidR="0055624E" w:rsidRPr="009636B4">
        <w:rPr>
          <w:sz w:val="22"/>
          <w:lang w:val="es-EC"/>
        </w:rPr>
        <w:t>SI</w:t>
      </w:r>
      <w:r w:rsidRPr="009636B4">
        <w:rPr>
          <w:sz w:val="22"/>
          <w:lang w:val="es-EC"/>
        </w:rPr>
        <w:t xml:space="preserve">) y 55 sin síndrome (grupo de control). Los investigadores aplicaron la Escala de Percepción de Lectura de Irlen para evaluar el Síndrome de Irlen y </w:t>
      </w:r>
      <w:r w:rsidR="00103C2B" w:rsidRPr="009636B4">
        <w:rPr>
          <w:sz w:val="22"/>
          <w:lang w:val="es-EC"/>
        </w:rPr>
        <w:t>la prueba</w:t>
      </w:r>
      <w:r w:rsidRPr="009636B4">
        <w:rPr>
          <w:sz w:val="22"/>
          <w:lang w:val="es-EC"/>
        </w:rPr>
        <w:t xml:space="preserve"> PROLEC-R para evaluar los procesos de lectura. Los resultados mostraron diferencias significativas entre los grupos en Lectura de palabras, Lectura de pseudopalabras, Signos de puntuación, Oraciones y Comprensión de textos. </w:t>
      </w:r>
      <w:r w:rsidR="009636B4" w:rsidRPr="009636B4">
        <w:rPr>
          <w:sz w:val="22"/>
          <w:lang w:val="es-EC"/>
        </w:rPr>
        <w:t>L</w:t>
      </w:r>
      <w:r w:rsidRPr="009636B4">
        <w:rPr>
          <w:sz w:val="22"/>
          <w:lang w:val="es-EC"/>
        </w:rPr>
        <w:t>a comprensión oral en la modalidad auditiva no fue significativamente diferente, lo que apoyaría la idea de que el síndrome de Irlen parec</w:t>
      </w:r>
      <w:r w:rsidR="007E4369" w:rsidRPr="009636B4">
        <w:rPr>
          <w:sz w:val="22"/>
          <w:lang w:val="es-EC"/>
        </w:rPr>
        <w:t>e</w:t>
      </w:r>
      <w:r w:rsidRPr="009636B4">
        <w:rPr>
          <w:sz w:val="22"/>
          <w:lang w:val="es-EC"/>
        </w:rPr>
        <w:t xml:space="preserve"> estar relacionado con procesos sensoriales visuales. En conclusión, los participantes con síndrome de Irlen presentaron procesos de lectura deteriorados que podrían afectar la comprensión visual general</w:t>
      </w:r>
      <w:r w:rsidR="003A4814" w:rsidRPr="009636B4">
        <w:rPr>
          <w:sz w:val="22"/>
          <w:lang w:val="es-EC"/>
        </w:rPr>
        <w:t>,</w:t>
      </w:r>
      <w:r w:rsidRPr="009636B4">
        <w:rPr>
          <w:sz w:val="22"/>
          <w:lang w:val="es-EC"/>
        </w:rPr>
        <w:t xml:space="preserve"> pero no la comprensión lectora oral. </w:t>
      </w:r>
    </w:p>
    <w:p w14:paraId="555267D7" w14:textId="77777777" w:rsidR="006D5396" w:rsidRPr="009636B4" w:rsidRDefault="006D5396" w:rsidP="00170CAA">
      <w:pPr>
        <w:spacing w:line="240" w:lineRule="auto"/>
        <w:ind w:firstLine="0"/>
        <w:jc w:val="both"/>
        <w:rPr>
          <w:sz w:val="22"/>
          <w:lang w:val="es-EC"/>
        </w:rPr>
      </w:pPr>
    </w:p>
    <w:p w14:paraId="48C54F7B" w14:textId="6242AD90" w:rsidR="00D21D8C" w:rsidRPr="009636B4" w:rsidRDefault="00D21D8C" w:rsidP="00B059E0">
      <w:pPr>
        <w:spacing w:line="240" w:lineRule="auto"/>
        <w:ind w:firstLine="0"/>
        <w:jc w:val="both"/>
        <w:rPr>
          <w:sz w:val="22"/>
          <w:lang w:val="es-EC"/>
        </w:rPr>
      </w:pPr>
      <w:r w:rsidRPr="009636B4">
        <w:rPr>
          <w:b/>
          <w:bCs/>
          <w:sz w:val="22"/>
          <w:lang w:val="es-EC"/>
        </w:rPr>
        <w:t xml:space="preserve">Palabras clave: </w:t>
      </w:r>
      <w:r w:rsidR="00B94C6E" w:rsidRPr="009636B4">
        <w:rPr>
          <w:sz w:val="22"/>
          <w:lang w:val="es-EC"/>
        </w:rPr>
        <w:t>Habilidades</w:t>
      </w:r>
      <w:r w:rsidRPr="009636B4">
        <w:rPr>
          <w:sz w:val="22"/>
          <w:lang w:val="es-EC"/>
        </w:rPr>
        <w:t xml:space="preserve"> </w:t>
      </w:r>
      <w:r w:rsidR="004F3084" w:rsidRPr="009636B4">
        <w:rPr>
          <w:sz w:val="22"/>
          <w:lang w:val="es-EC"/>
        </w:rPr>
        <w:t xml:space="preserve">de </w:t>
      </w:r>
      <w:r w:rsidRPr="009636B4">
        <w:rPr>
          <w:sz w:val="22"/>
          <w:lang w:val="es-EC"/>
        </w:rPr>
        <w:t>lect</w:t>
      </w:r>
      <w:r w:rsidR="004F3084" w:rsidRPr="009636B4">
        <w:rPr>
          <w:sz w:val="22"/>
          <w:lang w:val="es-EC"/>
        </w:rPr>
        <w:t>ura</w:t>
      </w:r>
      <w:r w:rsidRPr="009636B4">
        <w:rPr>
          <w:sz w:val="22"/>
          <w:lang w:val="es-EC"/>
        </w:rPr>
        <w:t xml:space="preserve">, </w:t>
      </w:r>
      <w:bookmarkStart w:id="0" w:name="_Hlk155160418"/>
      <w:r w:rsidR="009636B4" w:rsidRPr="009636B4">
        <w:rPr>
          <w:sz w:val="22"/>
          <w:lang w:val="es-EC"/>
        </w:rPr>
        <w:t>dificultades de lectura, dificultades de aprendizaje</w:t>
      </w:r>
      <w:bookmarkEnd w:id="0"/>
      <w:r w:rsidR="009636B4" w:rsidRPr="009636B4">
        <w:rPr>
          <w:sz w:val="22"/>
          <w:lang w:val="es-EC"/>
        </w:rPr>
        <w:t xml:space="preserve">, </w:t>
      </w:r>
      <w:r w:rsidRPr="009636B4">
        <w:rPr>
          <w:sz w:val="22"/>
          <w:lang w:val="es-EC"/>
        </w:rPr>
        <w:t>Síndrome de Irlen, Comprensión lectora</w:t>
      </w:r>
      <w:r w:rsidR="009636B4" w:rsidRPr="009636B4">
        <w:rPr>
          <w:sz w:val="22"/>
          <w:lang w:val="es-EC"/>
        </w:rPr>
        <w:t>.</w:t>
      </w:r>
    </w:p>
    <w:p w14:paraId="20EAEA66" w14:textId="77777777" w:rsidR="006D5396" w:rsidRPr="009636B4" w:rsidRDefault="006D5396" w:rsidP="00B059E0">
      <w:pPr>
        <w:spacing w:line="240" w:lineRule="auto"/>
        <w:ind w:firstLine="0"/>
        <w:jc w:val="both"/>
        <w:rPr>
          <w:sz w:val="22"/>
          <w:lang w:val="es-EC"/>
        </w:rPr>
      </w:pPr>
    </w:p>
    <w:p w14:paraId="33EBE183" w14:textId="77777777" w:rsidR="006D5396" w:rsidRPr="009636B4" w:rsidRDefault="006D5396" w:rsidP="006D5396">
      <w:pPr>
        <w:spacing w:line="240" w:lineRule="auto"/>
        <w:ind w:firstLine="0"/>
        <w:jc w:val="both"/>
        <w:rPr>
          <w:b/>
          <w:bCs/>
          <w:sz w:val="22"/>
          <w:lang w:val="en-US"/>
        </w:rPr>
      </w:pPr>
      <w:r w:rsidRPr="009636B4">
        <w:rPr>
          <w:b/>
          <w:bCs/>
          <w:sz w:val="22"/>
          <w:lang w:val="en-US"/>
        </w:rPr>
        <w:t>Abstract</w:t>
      </w:r>
    </w:p>
    <w:p w14:paraId="7B37313C" w14:textId="0F645AA4" w:rsidR="006D5396" w:rsidRPr="009636B4" w:rsidRDefault="006D5396" w:rsidP="006D5396">
      <w:pPr>
        <w:spacing w:line="240" w:lineRule="auto"/>
        <w:ind w:firstLine="0"/>
        <w:jc w:val="both"/>
        <w:rPr>
          <w:sz w:val="22"/>
          <w:lang w:val="en-US"/>
        </w:rPr>
      </w:pPr>
      <w:r w:rsidRPr="009636B4">
        <w:rPr>
          <w:sz w:val="22"/>
          <w:lang w:val="en-US"/>
        </w:rPr>
        <w:t xml:space="preserve">Visual perceptual distortions and physical discomfort that cause difficulties in reading are some of the characteristics of Irlen syndrome. This study examined if students with Irlen syndrome, assessed with different reading tasks, present differences in reading skills when compared to those without the condition. Participants were 110 fourth and fifth graders (mean age = 8.6 years), 55 with Irlen syndrome (ISG group) and 55 without the syndrome (control group). Researchers applied the Irlen Reading Perceptual Scale to evaluate the Irlen Syndrome and the PROLEC-R Test to assess reading processes. The results showed significant group differences in Word Reading, Pseudoword Reading, Punctuation Marks, Sentence, and Text Comprehension. </w:t>
      </w:r>
      <w:r w:rsidR="009636B4" w:rsidRPr="009636B4">
        <w:rPr>
          <w:sz w:val="22"/>
          <w:lang w:val="en-US"/>
        </w:rPr>
        <w:t>O</w:t>
      </w:r>
      <w:r w:rsidRPr="009636B4">
        <w:rPr>
          <w:sz w:val="22"/>
          <w:lang w:val="en-US"/>
        </w:rPr>
        <w:t xml:space="preserve">ral comprehension in the auditory modality was not significantly different, which would support the idea that Irlen syndrome seems to be related to visual sensory processes. In conclusion, participants with Irlen syndrome presented impaired reading processes that might affect overall visual comprehension but not oral reading comprehension. </w:t>
      </w:r>
    </w:p>
    <w:p w14:paraId="0F68B20D" w14:textId="77777777" w:rsidR="006D5396" w:rsidRPr="009636B4" w:rsidRDefault="006D5396" w:rsidP="006D5396">
      <w:pPr>
        <w:spacing w:line="240" w:lineRule="auto"/>
        <w:ind w:firstLine="0"/>
        <w:jc w:val="both"/>
        <w:rPr>
          <w:sz w:val="22"/>
          <w:lang w:val="en-US"/>
        </w:rPr>
      </w:pPr>
    </w:p>
    <w:p w14:paraId="3E835BE3" w14:textId="722B02C2" w:rsidR="006D5396" w:rsidRPr="009636B4" w:rsidRDefault="006D5396" w:rsidP="006D5396">
      <w:pPr>
        <w:spacing w:line="240" w:lineRule="auto"/>
        <w:ind w:firstLine="0"/>
        <w:jc w:val="both"/>
        <w:rPr>
          <w:sz w:val="22"/>
          <w:lang w:val="en-US"/>
        </w:rPr>
      </w:pPr>
      <w:r w:rsidRPr="009636B4">
        <w:rPr>
          <w:b/>
          <w:bCs/>
          <w:sz w:val="22"/>
          <w:lang w:val="en-US"/>
        </w:rPr>
        <w:lastRenderedPageBreak/>
        <w:t>Keywords:</w:t>
      </w:r>
      <w:r w:rsidRPr="009636B4">
        <w:rPr>
          <w:sz w:val="22"/>
          <w:lang w:val="en-US"/>
        </w:rPr>
        <w:t xml:space="preserve"> Reading skills, </w:t>
      </w:r>
      <w:r w:rsidR="009636B4" w:rsidRPr="009636B4">
        <w:rPr>
          <w:sz w:val="22"/>
          <w:lang w:val="en-US"/>
        </w:rPr>
        <w:t xml:space="preserve">reading difficulties, learning disabilities, </w:t>
      </w:r>
      <w:r w:rsidRPr="009636B4">
        <w:rPr>
          <w:sz w:val="22"/>
          <w:lang w:val="en-US"/>
        </w:rPr>
        <w:t xml:space="preserve">Irlen </w:t>
      </w:r>
      <w:r w:rsidR="009636B4" w:rsidRPr="009636B4">
        <w:rPr>
          <w:sz w:val="22"/>
          <w:lang w:val="en-US"/>
        </w:rPr>
        <w:t>S</w:t>
      </w:r>
      <w:r w:rsidRPr="009636B4">
        <w:rPr>
          <w:sz w:val="22"/>
          <w:lang w:val="en-US"/>
        </w:rPr>
        <w:t xml:space="preserve">yndrome, </w:t>
      </w:r>
      <w:r w:rsidR="009636B4" w:rsidRPr="009636B4">
        <w:rPr>
          <w:sz w:val="22"/>
          <w:lang w:val="en-US"/>
        </w:rPr>
        <w:t>r</w:t>
      </w:r>
      <w:r w:rsidRPr="009636B4">
        <w:rPr>
          <w:sz w:val="22"/>
          <w:lang w:val="en-US"/>
        </w:rPr>
        <w:t>eading comprehension.</w:t>
      </w:r>
    </w:p>
    <w:p w14:paraId="79ADD027" w14:textId="77777777" w:rsidR="006D5396" w:rsidRDefault="006D5396" w:rsidP="00B059E0">
      <w:pPr>
        <w:spacing w:line="240" w:lineRule="auto"/>
        <w:ind w:firstLine="0"/>
        <w:jc w:val="both"/>
        <w:rPr>
          <w:szCs w:val="24"/>
          <w:lang w:val="en-US"/>
        </w:rPr>
      </w:pPr>
    </w:p>
    <w:p w14:paraId="6101A76F" w14:textId="77777777" w:rsidR="00CA0098" w:rsidRPr="009662A1" w:rsidRDefault="00CA0098" w:rsidP="00CA0098">
      <w:pPr>
        <w:spacing w:line="240" w:lineRule="auto"/>
        <w:ind w:firstLine="0"/>
        <w:jc w:val="both"/>
        <w:rPr>
          <w:szCs w:val="24"/>
          <w:lang w:val="en-GB"/>
        </w:rPr>
      </w:pPr>
    </w:p>
    <w:p w14:paraId="178145E3" w14:textId="77777777" w:rsidR="00CA0098" w:rsidRPr="009636B4" w:rsidRDefault="00CA0098" w:rsidP="00CA0098">
      <w:pPr>
        <w:spacing w:line="240" w:lineRule="auto"/>
        <w:ind w:firstLine="0"/>
        <w:jc w:val="both"/>
        <w:rPr>
          <w:b/>
          <w:bCs/>
          <w:sz w:val="22"/>
        </w:rPr>
      </w:pPr>
      <w:r w:rsidRPr="009636B4">
        <w:rPr>
          <w:b/>
          <w:bCs/>
          <w:sz w:val="22"/>
        </w:rPr>
        <w:t>Cómo citar</w:t>
      </w:r>
    </w:p>
    <w:p w14:paraId="5562D2E8" w14:textId="50667685" w:rsidR="00CA0098" w:rsidRPr="009636B4" w:rsidRDefault="00CA0098" w:rsidP="00CA0098">
      <w:pPr>
        <w:spacing w:line="240" w:lineRule="auto"/>
        <w:ind w:firstLine="0"/>
        <w:jc w:val="both"/>
        <w:rPr>
          <w:sz w:val="22"/>
          <w:lang w:val="es-ES"/>
        </w:rPr>
      </w:pPr>
      <w:r w:rsidRPr="009636B4">
        <w:rPr>
          <w:sz w:val="22"/>
        </w:rPr>
        <w:t>Tacuri-Reino, R. D., Elosua, M. R., &amp; Bernal, M. (202</w:t>
      </w:r>
      <w:r w:rsidR="009636B4" w:rsidRPr="009636B4">
        <w:rPr>
          <w:sz w:val="22"/>
        </w:rPr>
        <w:t>4</w:t>
      </w:r>
      <w:r w:rsidRPr="009636B4">
        <w:rPr>
          <w:sz w:val="22"/>
        </w:rPr>
        <w:t xml:space="preserve">). </w:t>
      </w:r>
      <w:r w:rsidRPr="009636B4">
        <w:rPr>
          <w:sz w:val="22"/>
          <w:lang w:val="es-ES"/>
        </w:rPr>
        <w:t xml:space="preserve">Habilidades de lectura en niños con </w:t>
      </w:r>
      <w:proofErr w:type="spellStart"/>
      <w:r w:rsidRPr="009636B4">
        <w:rPr>
          <w:sz w:val="22"/>
          <w:lang w:val="es-ES"/>
        </w:rPr>
        <w:t>syndrome</w:t>
      </w:r>
      <w:proofErr w:type="spellEnd"/>
      <w:r w:rsidRPr="009636B4">
        <w:rPr>
          <w:sz w:val="22"/>
          <w:lang w:val="es-ES"/>
        </w:rPr>
        <w:t xml:space="preserve"> de </w:t>
      </w:r>
      <w:proofErr w:type="spellStart"/>
      <w:r w:rsidRPr="009636B4">
        <w:rPr>
          <w:sz w:val="22"/>
          <w:lang w:val="es-ES"/>
        </w:rPr>
        <w:t>Irlen</w:t>
      </w:r>
      <w:proofErr w:type="spellEnd"/>
      <w:r w:rsidRPr="009636B4">
        <w:rPr>
          <w:sz w:val="22"/>
          <w:lang w:val="es-ES"/>
        </w:rPr>
        <w:t xml:space="preserve">. </w:t>
      </w:r>
      <w:r w:rsidRPr="009636B4">
        <w:rPr>
          <w:i/>
          <w:iCs/>
          <w:sz w:val="22"/>
          <w:lang w:val="es-ES"/>
        </w:rPr>
        <w:t>Ocnos</w:t>
      </w:r>
      <w:r w:rsidRPr="009636B4">
        <w:rPr>
          <w:sz w:val="22"/>
          <w:lang w:val="es-ES"/>
        </w:rPr>
        <w:t>,</w:t>
      </w:r>
      <w:r w:rsidRPr="009636B4">
        <w:rPr>
          <w:i/>
          <w:iCs/>
          <w:sz w:val="22"/>
          <w:lang w:val="es-ES"/>
        </w:rPr>
        <w:t xml:space="preserve"> 23</w:t>
      </w:r>
      <w:r w:rsidRPr="009636B4">
        <w:rPr>
          <w:sz w:val="22"/>
          <w:lang w:val="es-ES"/>
        </w:rPr>
        <w:t xml:space="preserve">(1). </w:t>
      </w:r>
      <w:r w:rsidRPr="009636B4">
        <w:rPr>
          <w:rFonts w:eastAsia="Times New Roman"/>
          <w:bCs/>
          <w:sz w:val="22"/>
          <w:lang w:val="es-ES"/>
        </w:rPr>
        <w:t>https://doi.org/10.18239/ocnos_2024.23.1.</w:t>
      </w:r>
      <w:r w:rsidRPr="009636B4">
        <w:rPr>
          <w:rFonts w:eastAsia="Times New Roman"/>
          <w:bCs/>
          <w:sz w:val="22"/>
        </w:rPr>
        <w:t>387</w:t>
      </w:r>
      <w:r w:rsidRPr="009636B4">
        <w:rPr>
          <w:rFonts w:eastAsia="Times New Roman"/>
          <w:bCs/>
          <w:sz w:val="22"/>
          <w:lang w:val="es-ES"/>
        </w:rPr>
        <w:t xml:space="preserve">  </w:t>
      </w:r>
    </w:p>
    <w:p w14:paraId="4B41E606" w14:textId="77777777" w:rsidR="00CA0098" w:rsidRDefault="00CA0098" w:rsidP="00CA0098">
      <w:pPr>
        <w:spacing w:line="240" w:lineRule="auto"/>
        <w:ind w:firstLine="0"/>
        <w:jc w:val="both"/>
        <w:rPr>
          <w:szCs w:val="24"/>
          <w:lang w:val="es-EC"/>
        </w:rPr>
      </w:pPr>
    </w:p>
    <w:p w14:paraId="07F02707" w14:textId="77777777" w:rsidR="006D5396" w:rsidRPr="009662A1" w:rsidRDefault="006D5396" w:rsidP="00B059E0">
      <w:pPr>
        <w:spacing w:line="240" w:lineRule="auto"/>
        <w:ind w:firstLine="0"/>
        <w:jc w:val="both"/>
        <w:rPr>
          <w:szCs w:val="24"/>
          <w:lang w:val="es-ES"/>
        </w:rPr>
      </w:pPr>
    </w:p>
    <w:p w14:paraId="1D139767" w14:textId="507CE746" w:rsidR="006D5396" w:rsidRPr="009636B4" w:rsidRDefault="009636B4" w:rsidP="00B059E0">
      <w:pPr>
        <w:spacing w:line="240" w:lineRule="auto"/>
        <w:ind w:firstLine="0"/>
        <w:jc w:val="both"/>
        <w:rPr>
          <w:b/>
          <w:bCs/>
          <w:szCs w:val="24"/>
          <w:lang w:val="es-ES"/>
        </w:rPr>
      </w:pPr>
      <w:r w:rsidRPr="009636B4">
        <w:rPr>
          <w:b/>
          <w:bCs/>
          <w:szCs w:val="24"/>
          <w:lang w:val="es-ES"/>
        </w:rPr>
        <w:t>Introducción</w:t>
      </w:r>
    </w:p>
    <w:p w14:paraId="3C4D2973" w14:textId="221B8931" w:rsidR="00A0421B" w:rsidRPr="00B059E0" w:rsidRDefault="00B80F7B" w:rsidP="00B059E0">
      <w:pPr>
        <w:spacing w:line="240" w:lineRule="auto"/>
        <w:ind w:firstLine="720"/>
        <w:jc w:val="both"/>
        <w:rPr>
          <w:szCs w:val="24"/>
          <w:lang w:val="es-EC"/>
        </w:rPr>
      </w:pPr>
      <w:r w:rsidRPr="00B059E0">
        <w:rPr>
          <w:szCs w:val="24"/>
          <w:lang w:val="es-EC"/>
        </w:rPr>
        <w:t>El síndrome de Irlen (S</w:t>
      </w:r>
      <w:r w:rsidR="00DE1D50" w:rsidRPr="00B059E0">
        <w:rPr>
          <w:szCs w:val="24"/>
          <w:lang w:val="es-EC"/>
        </w:rPr>
        <w:t>I</w:t>
      </w:r>
      <w:r w:rsidRPr="00B059E0">
        <w:rPr>
          <w:szCs w:val="24"/>
          <w:lang w:val="es-EC"/>
        </w:rPr>
        <w:t>), también conocido como síndrome de sensibilidad escotópica, síndrome de Meares-Irlen o estrés visual, es un trastorno del procesamiento de la percepción visual que afecta la lectura y se caracteriza por distorsiones de la percepción visual y molestias físicas (Irlen, 2005; Wilkins et al., 1984). No se considera que cause o esté relacionado con problemas de lenguaje, es decir, el SI solo afecta las características de percepción visual en la lectura.</w:t>
      </w:r>
    </w:p>
    <w:p w14:paraId="310EE84A" w14:textId="7D541BD3" w:rsidR="00E51486" w:rsidRPr="00B059E0" w:rsidRDefault="00E51486" w:rsidP="00B059E0">
      <w:pPr>
        <w:spacing w:line="240" w:lineRule="auto"/>
        <w:ind w:firstLine="720"/>
        <w:jc w:val="both"/>
        <w:rPr>
          <w:szCs w:val="24"/>
          <w:lang w:val="es-EC"/>
        </w:rPr>
      </w:pPr>
      <w:r w:rsidRPr="00B059E0">
        <w:rPr>
          <w:szCs w:val="24"/>
          <w:lang w:val="es-EC"/>
        </w:rPr>
        <w:t xml:space="preserve">La mayoría de los estudios que definen al SI señala la </w:t>
      </w:r>
      <w:r w:rsidR="003A4814" w:rsidRPr="00B059E0">
        <w:rPr>
          <w:szCs w:val="24"/>
          <w:lang w:val="es-EC"/>
        </w:rPr>
        <w:t>t</w:t>
      </w:r>
      <w:r w:rsidRPr="00B059E0">
        <w:rPr>
          <w:szCs w:val="24"/>
          <w:lang w:val="es-EC"/>
        </w:rPr>
        <w:t xml:space="preserve">eoría del </w:t>
      </w:r>
      <w:r w:rsidR="009A1FE2" w:rsidRPr="00B059E0">
        <w:rPr>
          <w:szCs w:val="24"/>
          <w:lang w:val="es-EC"/>
        </w:rPr>
        <w:t xml:space="preserve">déficit magnocelular </w:t>
      </w:r>
      <w:r w:rsidRPr="00B059E0">
        <w:rPr>
          <w:rFonts w:eastAsia="Times New Roman"/>
          <w:color w:val="000000" w:themeColor="text1"/>
          <w:szCs w:val="24"/>
          <w:lang w:val="es-EC"/>
        </w:rPr>
        <w:t xml:space="preserve">como su causa principal </w:t>
      </w:r>
      <w:r w:rsidRPr="00B059E0">
        <w:rPr>
          <w:szCs w:val="24"/>
          <w:lang w:val="es-EC"/>
        </w:rPr>
        <w:t xml:space="preserve">(Nandakumar </w:t>
      </w:r>
      <w:r w:rsidR="0057706F" w:rsidRPr="00B059E0">
        <w:rPr>
          <w:color w:val="000000" w:themeColor="text1"/>
          <w:szCs w:val="24"/>
          <w:lang w:val="es-EC"/>
        </w:rPr>
        <w:t>y</w:t>
      </w:r>
      <w:r w:rsidRPr="00B059E0">
        <w:rPr>
          <w:color w:val="000000" w:themeColor="text1"/>
          <w:szCs w:val="24"/>
          <w:lang w:val="es-EC"/>
        </w:rPr>
        <w:t xml:space="preserve"> </w:t>
      </w:r>
      <w:r w:rsidRPr="00B059E0">
        <w:rPr>
          <w:szCs w:val="24"/>
          <w:lang w:val="es-EC"/>
        </w:rPr>
        <w:t xml:space="preserve">Leat, 2008). Esta teoría propone que una alteración en el sistema magnocelular se caracteriza por </w:t>
      </w:r>
      <w:r w:rsidR="00A51059" w:rsidRPr="00B059E0">
        <w:rPr>
          <w:szCs w:val="24"/>
          <w:lang w:val="es-EC"/>
        </w:rPr>
        <w:t xml:space="preserve">la </w:t>
      </w:r>
      <w:r w:rsidRPr="00B059E0">
        <w:rPr>
          <w:szCs w:val="24"/>
          <w:lang w:val="es-EC"/>
        </w:rPr>
        <w:t>saturación de las células magnocelulares (C</w:t>
      </w:r>
      <w:r w:rsidR="00A51059" w:rsidRPr="00B059E0">
        <w:rPr>
          <w:szCs w:val="24"/>
          <w:lang w:val="es-EC"/>
        </w:rPr>
        <w:t>M</w:t>
      </w:r>
      <w:r w:rsidRPr="00B059E0">
        <w:rPr>
          <w:szCs w:val="24"/>
          <w:lang w:val="es-EC"/>
        </w:rPr>
        <w:t>, en adelante) e inhibición de las células parvocelulares (C</w:t>
      </w:r>
      <w:r w:rsidR="00A51059" w:rsidRPr="00B059E0">
        <w:rPr>
          <w:szCs w:val="24"/>
          <w:lang w:val="es-EC"/>
        </w:rPr>
        <w:t>P</w:t>
      </w:r>
      <w:r w:rsidRPr="00B059E0">
        <w:rPr>
          <w:szCs w:val="24"/>
          <w:lang w:val="es-EC"/>
        </w:rPr>
        <w:t>, en adelante). Galaburda y Cestnick (2003) encontraron que las células C</w:t>
      </w:r>
      <w:r w:rsidR="00A51059" w:rsidRPr="00B059E0">
        <w:rPr>
          <w:szCs w:val="24"/>
          <w:lang w:val="es-EC"/>
        </w:rPr>
        <w:t>M</w:t>
      </w:r>
      <w:r w:rsidRPr="00B059E0">
        <w:rPr>
          <w:szCs w:val="24"/>
          <w:lang w:val="es-EC"/>
        </w:rPr>
        <w:t xml:space="preserve"> y C</w:t>
      </w:r>
      <w:r w:rsidR="00A51059" w:rsidRPr="00B059E0">
        <w:rPr>
          <w:szCs w:val="24"/>
          <w:lang w:val="es-EC"/>
        </w:rPr>
        <w:t>P</w:t>
      </w:r>
      <w:r w:rsidRPr="00B059E0">
        <w:rPr>
          <w:szCs w:val="24"/>
          <w:lang w:val="es-EC"/>
        </w:rPr>
        <w:t xml:space="preserve">, </w:t>
      </w:r>
      <w:r w:rsidRPr="00B059E0">
        <w:rPr>
          <w:rFonts w:eastAsia="Times New Roman"/>
          <w:color w:val="000000" w:themeColor="text1"/>
          <w:szCs w:val="24"/>
          <w:lang w:val="es-EC"/>
        </w:rPr>
        <w:t xml:space="preserve">integradas en el núcleo geniculado lateral, </w:t>
      </w:r>
      <w:r w:rsidRPr="00B059E0">
        <w:rPr>
          <w:szCs w:val="24"/>
          <w:lang w:val="es-EC"/>
        </w:rPr>
        <w:t>son las responsables de la asimilación de la lectura. Esta superposición entre el sistema C</w:t>
      </w:r>
      <w:r w:rsidR="00A51059" w:rsidRPr="00B059E0">
        <w:rPr>
          <w:szCs w:val="24"/>
          <w:lang w:val="es-EC"/>
        </w:rPr>
        <w:t>M</w:t>
      </w:r>
      <w:r w:rsidRPr="00B059E0">
        <w:rPr>
          <w:szCs w:val="24"/>
          <w:lang w:val="es-EC"/>
        </w:rPr>
        <w:t xml:space="preserve"> (encargado de la información sobre movimiento, estereopsis, ubicación y profundidad) y el sistema C</w:t>
      </w:r>
      <w:r w:rsidR="00A51059" w:rsidRPr="00B059E0">
        <w:rPr>
          <w:szCs w:val="24"/>
          <w:lang w:val="es-EC"/>
        </w:rPr>
        <w:t>P</w:t>
      </w:r>
      <w:r w:rsidRPr="00B059E0">
        <w:rPr>
          <w:szCs w:val="24"/>
          <w:lang w:val="es-EC"/>
        </w:rPr>
        <w:t xml:space="preserve"> (responsable de la percepción, reconocimiento y resolución del color) permitiría organizar la información a</w:t>
      </w:r>
      <w:r w:rsidR="00A51059" w:rsidRPr="00B059E0">
        <w:rPr>
          <w:szCs w:val="24"/>
          <w:lang w:val="es-EC"/>
        </w:rPr>
        <w:t>l</w:t>
      </w:r>
      <w:r w:rsidRPr="00B059E0">
        <w:rPr>
          <w:szCs w:val="24"/>
          <w:lang w:val="es-EC"/>
        </w:rPr>
        <w:t xml:space="preserve"> leer (Galaburda </w:t>
      </w:r>
      <w:r w:rsidR="00DB4AE3" w:rsidRPr="00B059E0">
        <w:rPr>
          <w:noProof/>
          <w:szCs w:val="24"/>
          <w:lang w:val="es-EC"/>
        </w:rPr>
        <w:t>y</w:t>
      </w:r>
      <w:r w:rsidRPr="00B059E0">
        <w:rPr>
          <w:noProof/>
          <w:szCs w:val="24"/>
          <w:lang w:val="es-EC"/>
        </w:rPr>
        <w:t xml:space="preserve"> </w:t>
      </w:r>
      <w:r w:rsidRPr="00B059E0">
        <w:rPr>
          <w:color w:val="000000" w:themeColor="text1"/>
          <w:szCs w:val="24"/>
          <w:lang w:val="es-EC"/>
        </w:rPr>
        <w:t>Livingston</w:t>
      </w:r>
      <w:r w:rsidR="00DB4AE3" w:rsidRPr="00B059E0">
        <w:rPr>
          <w:color w:val="000000" w:themeColor="text1"/>
          <w:szCs w:val="24"/>
          <w:lang w:val="es-EC"/>
        </w:rPr>
        <w:t>e</w:t>
      </w:r>
      <w:r w:rsidRPr="00B059E0">
        <w:rPr>
          <w:noProof/>
          <w:szCs w:val="24"/>
          <w:lang w:val="es-EC"/>
        </w:rPr>
        <w:t>, 1991</w:t>
      </w:r>
      <w:r w:rsidRPr="00B059E0">
        <w:rPr>
          <w:szCs w:val="24"/>
          <w:lang w:val="es-EC"/>
        </w:rPr>
        <w:t xml:space="preserve">). </w:t>
      </w:r>
      <w:r w:rsidR="00FF30C1" w:rsidRPr="00B059E0">
        <w:rPr>
          <w:szCs w:val="24"/>
          <w:lang w:val="es-EC"/>
        </w:rPr>
        <w:t>Esto explicaría</w:t>
      </w:r>
      <w:r w:rsidRPr="00B059E0">
        <w:rPr>
          <w:szCs w:val="24"/>
          <w:lang w:val="es-EC"/>
        </w:rPr>
        <w:t xml:space="preserve"> que un fallo en esta superposición se traduciría en la imposibilidad de leer con fluidez. Un fall</w:t>
      </w:r>
      <w:r w:rsidR="00A51059" w:rsidRPr="00B059E0">
        <w:rPr>
          <w:szCs w:val="24"/>
          <w:lang w:val="es-EC"/>
        </w:rPr>
        <w:t>o</w:t>
      </w:r>
      <w:r w:rsidRPr="00B059E0">
        <w:rPr>
          <w:szCs w:val="24"/>
          <w:lang w:val="es-EC"/>
        </w:rPr>
        <w:t xml:space="preserve"> en el sistema magnocelular podría generar desestabilización binocular, inestabilidad en la percepción de estímulos o la sensación de letras en movimiento (Stein, 2001).</w:t>
      </w:r>
    </w:p>
    <w:p w14:paraId="43AE1E77" w14:textId="4EE5677F" w:rsidR="00811A82" w:rsidRPr="00B059E0" w:rsidRDefault="00811A82" w:rsidP="00B059E0">
      <w:pPr>
        <w:spacing w:line="240" w:lineRule="auto"/>
        <w:ind w:firstLine="720"/>
        <w:jc w:val="both"/>
        <w:rPr>
          <w:szCs w:val="24"/>
          <w:lang w:val="es-EC"/>
        </w:rPr>
      </w:pPr>
      <w:r w:rsidRPr="00B059E0">
        <w:rPr>
          <w:szCs w:val="24"/>
          <w:lang w:val="es-EC"/>
        </w:rPr>
        <w:t xml:space="preserve">La relación entre los procesos visuales y los problemas de lectura se ha convertido en un tema ampliamente debatido, especialmente con los estudios de Helen Irlen (Irlen, 1983). Irlen mencionó la existencia de una disfunción perceptiva en los procesos de lectura que no es exclusiva de la dislexia. A partir de esta apreciación, Irlen (2005) planteó que los problemas de percepción podrían ser una de las variables relacionadas con los problemas de lectura. También existe comorbilidad con otras patologías, tal y como han encontrado otros estudios posteriores (Rello </w:t>
      </w:r>
      <w:r w:rsidR="008F130C" w:rsidRPr="00B059E0">
        <w:rPr>
          <w:szCs w:val="24"/>
          <w:lang w:val="es-EC"/>
        </w:rPr>
        <w:t>y</w:t>
      </w:r>
      <w:r w:rsidRPr="00B059E0">
        <w:rPr>
          <w:szCs w:val="24"/>
          <w:lang w:val="es-EC"/>
        </w:rPr>
        <w:t xml:space="preserve"> Bigham, 2017).</w:t>
      </w:r>
    </w:p>
    <w:p w14:paraId="5E7ADB1A" w14:textId="655F1368" w:rsidR="007B1E04" w:rsidRPr="00B059E0" w:rsidRDefault="007B1E04" w:rsidP="00B059E0">
      <w:pPr>
        <w:spacing w:line="240" w:lineRule="auto"/>
        <w:ind w:firstLine="720"/>
        <w:jc w:val="both"/>
        <w:rPr>
          <w:color w:val="4472C4" w:themeColor="accent1"/>
          <w:szCs w:val="24"/>
          <w:lang w:val="es-EC"/>
        </w:rPr>
      </w:pPr>
      <w:r w:rsidRPr="00B059E0">
        <w:rPr>
          <w:szCs w:val="24"/>
          <w:lang w:val="es-EC"/>
        </w:rPr>
        <w:t>Según Wilkins et al. (2016), la dislexia no debe confundirse con el estrés visual (</w:t>
      </w:r>
      <w:r w:rsidR="00873D10" w:rsidRPr="00B059E0">
        <w:rPr>
          <w:szCs w:val="24"/>
          <w:lang w:val="es-EC"/>
        </w:rPr>
        <w:t>EV</w:t>
      </w:r>
      <w:r w:rsidRPr="00B059E0">
        <w:rPr>
          <w:szCs w:val="24"/>
          <w:lang w:val="es-EC"/>
        </w:rPr>
        <w:t xml:space="preserve">). Galaburda y Cestnick (2003) señalaron que el origen de la dislexia está relacionado con procesos cerebrales más complejos. Estos investigadores también indican que el concepto de estrés visual sigue siendo controvertido debido a la publicidad sobre métodos desconocidos y en parte debido a revisiones sesgadas. Además, Wilkins et al. (1984) argumentaron que aunque un texto de lectura puede parecer </w:t>
      </w:r>
      <w:r w:rsidR="00EE6189" w:rsidRPr="00B059E0">
        <w:rPr>
          <w:szCs w:val="24"/>
          <w:lang w:val="es-EC"/>
        </w:rPr>
        <w:t xml:space="preserve">como </w:t>
      </w:r>
      <w:r w:rsidRPr="00B059E0">
        <w:rPr>
          <w:rFonts w:eastAsia="Times New Roman"/>
          <w:color w:val="000000" w:themeColor="text1"/>
          <w:szCs w:val="24"/>
          <w:lang w:val="es-EC"/>
        </w:rPr>
        <w:t xml:space="preserve">líneas </w:t>
      </w:r>
      <w:r w:rsidR="00873D10" w:rsidRPr="00B059E0">
        <w:rPr>
          <w:rFonts w:eastAsia="Times New Roman"/>
          <w:color w:val="000000" w:themeColor="text1"/>
          <w:szCs w:val="24"/>
          <w:lang w:val="es-EC"/>
        </w:rPr>
        <w:t xml:space="preserve">confusas </w:t>
      </w:r>
      <w:r w:rsidRPr="00B059E0">
        <w:rPr>
          <w:rFonts w:eastAsia="Times New Roman"/>
          <w:color w:val="000000" w:themeColor="text1"/>
          <w:szCs w:val="24"/>
          <w:lang w:val="es-EC"/>
        </w:rPr>
        <w:t xml:space="preserve">o </w:t>
      </w:r>
      <w:r w:rsidRPr="00B059E0">
        <w:rPr>
          <w:szCs w:val="24"/>
          <w:lang w:val="es-EC"/>
        </w:rPr>
        <w:t>patrones de raya</w:t>
      </w:r>
      <w:r w:rsidR="00873D10" w:rsidRPr="00B059E0">
        <w:rPr>
          <w:szCs w:val="24"/>
          <w:lang w:val="es-EC"/>
        </w:rPr>
        <w:t>s</w:t>
      </w:r>
      <w:r w:rsidRPr="00B059E0">
        <w:rPr>
          <w:szCs w:val="24"/>
          <w:lang w:val="es-EC"/>
        </w:rPr>
        <w:t xml:space="preserve"> para los pacientes de Irlen</w:t>
      </w:r>
      <w:r w:rsidR="00873D10" w:rsidRPr="00B059E0">
        <w:rPr>
          <w:szCs w:val="24"/>
          <w:lang w:val="es-EC"/>
        </w:rPr>
        <w:t>,</w:t>
      </w:r>
      <w:r w:rsidRPr="00B059E0">
        <w:rPr>
          <w:szCs w:val="24"/>
          <w:lang w:val="es-EC"/>
        </w:rPr>
        <w:t xml:space="preserve"> como parte del cumplimiento de su tarea educativa, deben leer textos. Esta actividad puede ser una tarea desafiante para algunos niños o adultos que tienen síntomas de estrés visual o síndrome de Irlen.</w:t>
      </w:r>
    </w:p>
    <w:p w14:paraId="4109C4EE" w14:textId="4CA99074" w:rsidR="00E401FF" w:rsidRPr="00B059E0" w:rsidRDefault="00E401FF" w:rsidP="00B059E0">
      <w:pPr>
        <w:spacing w:line="240" w:lineRule="auto"/>
        <w:ind w:firstLine="720"/>
        <w:jc w:val="both"/>
        <w:rPr>
          <w:rFonts w:eastAsia="Times New Roman"/>
          <w:szCs w:val="24"/>
          <w:lang w:val="es-EC"/>
        </w:rPr>
      </w:pPr>
      <w:r w:rsidRPr="00B059E0">
        <w:rPr>
          <w:szCs w:val="24"/>
          <w:lang w:val="es-EC"/>
        </w:rPr>
        <w:t xml:space="preserve">En cuanto a la incidencia de </w:t>
      </w:r>
      <w:r w:rsidR="005D1562" w:rsidRPr="00B059E0">
        <w:rPr>
          <w:szCs w:val="24"/>
          <w:lang w:val="es-EC"/>
        </w:rPr>
        <w:t>SI</w:t>
      </w:r>
      <w:r w:rsidRPr="00B059E0">
        <w:rPr>
          <w:szCs w:val="24"/>
          <w:lang w:val="es-EC"/>
        </w:rPr>
        <w:t>, estudios realizados en Estados Unidos (</w:t>
      </w:r>
      <w:r w:rsidRPr="00B059E0">
        <w:rPr>
          <w:rFonts w:eastAsia="Times New Roman"/>
          <w:szCs w:val="24"/>
          <w:lang w:val="es-EC"/>
        </w:rPr>
        <w:t xml:space="preserve">Johnson et al., 2000), Australia (Robinson et al., 1995) e Inglaterra (Jeanes et al., 1997; Scott et al., 2002; Wilkins et al., 2001) afirman que la tasa de incidencia de SI moderada/grave o significativamente afectada es del 12 al 15% </w:t>
      </w:r>
      <w:r w:rsidRPr="00B059E0">
        <w:rPr>
          <w:szCs w:val="24"/>
          <w:lang w:val="es-EC"/>
        </w:rPr>
        <w:t xml:space="preserve">en la población general y del 40% en disléxicos. Sin embargo, no todos estos </w:t>
      </w:r>
      <w:r w:rsidRPr="00B059E0">
        <w:rPr>
          <w:szCs w:val="24"/>
          <w:lang w:val="es-EC"/>
        </w:rPr>
        <w:lastRenderedPageBreak/>
        <w:t xml:space="preserve">estudios informan sobre el instrumento utilizado para identificar </w:t>
      </w:r>
      <w:r w:rsidR="005D1562" w:rsidRPr="00B059E0">
        <w:rPr>
          <w:szCs w:val="24"/>
          <w:lang w:val="es-EC"/>
        </w:rPr>
        <w:t xml:space="preserve">el </w:t>
      </w:r>
      <w:r w:rsidRPr="00B059E0">
        <w:rPr>
          <w:szCs w:val="24"/>
          <w:lang w:val="es-EC"/>
        </w:rPr>
        <w:t>SI, su índice de confiabilidad y su validez.</w:t>
      </w:r>
    </w:p>
    <w:p w14:paraId="3C5A7172" w14:textId="69A89B62" w:rsidR="4C9CB5AB" w:rsidRPr="00B059E0" w:rsidRDefault="038686E3" w:rsidP="00B059E0">
      <w:pPr>
        <w:spacing w:line="240" w:lineRule="auto"/>
        <w:ind w:firstLine="720"/>
        <w:jc w:val="both"/>
        <w:rPr>
          <w:szCs w:val="24"/>
          <w:lang w:val="es-EC"/>
        </w:rPr>
      </w:pPr>
      <w:r w:rsidRPr="00B059E0">
        <w:rPr>
          <w:szCs w:val="24"/>
          <w:lang w:val="es-EC"/>
        </w:rPr>
        <w:t xml:space="preserve">Algunos estudios (Altman, 2003; Guimarães </w:t>
      </w:r>
      <w:r w:rsidR="00185CE0" w:rsidRPr="00B059E0">
        <w:rPr>
          <w:color w:val="000000" w:themeColor="text1"/>
          <w:szCs w:val="24"/>
          <w:lang w:val="es-EC"/>
        </w:rPr>
        <w:t>y</w:t>
      </w:r>
      <w:r w:rsidR="00E00B56" w:rsidRPr="00B059E0">
        <w:rPr>
          <w:color w:val="000000" w:themeColor="text1"/>
          <w:szCs w:val="24"/>
          <w:lang w:val="es-EC"/>
        </w:rPr>
        <w:t xml:space="preserve"> </w:t>
      </w:r>
      <w:r w:rsidR="00E00B56" w:rsidRPr="00B059E0">
        <w:rPr>
          <w:szCs w:val="24"/>
          <w:lang w:val="es-EC"/>
        </w:rPr>
        <w:t xml:space="preserve">Guimarães, 2013; Miyasaka et al., 2019; Sacoman, 2020; </w:t>
      </w:r>
      <w:r w:rsidR="00E00B56" w:rsidRPr="00EE0D4B">
        <w:rPr>
          <w:szCs w:val="24"/>
          <w:lang w:val="es-EC"/>
        </w:rPr>
        <w:t>Wilkins</w:t>
      </w:r>
      <w:r w:rsidR="00EE0D4B" w:rsidRPr="00EE0D4B">
        <w:rPr>
          <w:szCs w:val="24"/>
          <w:lang w:val="es-EC"/>
        </w:rPr>
        <w:t xml:space="preserve"> et al</w:t>
      </w:r>
      <w:r w:rsidR="00DA2A14">
        <w:rPr>
          <w:szCs w:val="24"/>
          <w:lang w:val="es-EC"/>
        </w:rPr>
        <w:t>.</w:t>
      </w:r>
      <w:r w:rsidR="00E00B56" w:rsidRPr="00EE0D4B">
        <w:rPr>
          <w:szCs w:val="24"/>
          <w:lang w:val="es-EC"/>
        </w:rPr>
        <w:t>, 2001</w:t>
      </w:r>
      <w:r w:rsidR="00E00B56" w:rsidRPr="00B059E0">
        <w:rPr>
          <w:szCs w:val="24"/>
          <w:lang w:val="es-EC"/>
        </w:rPr>
        <w:t xml:space="preserve">) indicaron que existen seis alteraciones visuales principales en </w:t>
      </w:r>
      <w:r w:rsidR="005D1562" w:rsidRPr="00B059E0">
        <w:rPr>
          <w:szCs w:val="24"/>
          <w:lang w:val="es-EC"/>
        </w:rPr>
        <w:t>el</w:t>
      </w:r>
      <w:r w:rsidR="00E00B56" w:rsidRPr="00B059E0">
        <w:rPr>
          <w:szCs w:val="24"/>
          <w:lang w:val="es-EC"/>
        </w:rPr>
        <w:t xml:space="preserve"> SI: fotofobia (resistencia y sensibilidad a la luz o quejas de brillo /reflejos de papel blanco), distorsiones de contraste (dificultad de adaptación entre claro y oscuro), problemas en una resolución visoespacial (sensación de desenfoque y movimiento de letras), restricción del rango focal (baja capacidad para enfocar las partes más relevantes del texto y mala recopilación de caracteres en cada fijación), dificultad para mantener el enfoque (fatiga prematura o estrés</w:t>
      </w:r>
      <w:r w:rsidR="00491C10" w:rsidRPr="00B059E0">
        <w:rPr>
          <w:szCs w:val="24"/>
          <w:lang w:val="es-EC"/>
        </w:rPr>
        <w:t xml:space="preserve"> </w:t>
      </w:r>
      <w:r w:rsidR="00E00B56" w:rsidRPr="00B059E0">
        <w:rPr>
          <w:szCs w:val="24"/>
          <w:lang w:val="es-EC"/>
        </w:rPr>
        <w:t>visual) y problemas con la percepción de la profundidad. De igual forma, Guimarães (2011)</w:t>
      </w:r>
      <w:r w:rsidR="00C36CB5" w:rsidRPr="00B059E0">
        <w:rPr>
          <w:szCs w:val="24"/>
          <w:lang w:val="es-EC"/>
        </w:rPr>
        <w:t xml:space="preserve"> </w:t>
      </w:r>
      <w:r w:rsidR="00491C10" w:rsidRPr="00B059E0">
        <w:rPr>
          <w:szCs w:val="24"/>
          <w:lang w:val="es-EC"/>
        </w:rPr>
        <w:t>señal</w:t>
      </w:r>
      <w:r w:rsidR="00C36CB5" w:rsidRPr="00B059E0">
        <w:rPr>
          <w:szCs w:val="24"/>
          <w:lang w:val="es-EC"/>
        </w:rPr>
        <w:t>ó</w:t>
      </w:r>
      <w:r w:rsidR="00E00B56" w:rsidRPr="00B059E0">
        <w:rPr>
          <w:szCs w:val="24"/>
          <w:lang w:val="es-EC"/>
        </w:rPr>
        <w:t xml:space="preserve"> que estos problemas se manifiestan como lagrimeo y sensación de ardor que, </w:t>
      </w:r>
      <w:r w:rsidR="00491C10" w:rsidRPr="00B059E0">
        <w:rPr>
          <w:szCs w:val="24"/>
          <w:lang w:val="es-EC"/>
        </w:rPr>
        <w:t>en consecuencia</w:t>
      </w:r>
      <w:r w:rsidR="00E00B56" w:rsidRPr="00B059E0">
        <w:rPr>
          <w:szCs w:val="24"/>
          <w:lang w:val="es-EC"/>
        </w:rPr>
        <w:t xml:space="preserve">, produce </w:t>
      </w:r>
      <w:r w:rsidR="00A11F5F" w:rsidRPr="00B059E0">
        <w:rPr>
          <w:szCs w:val="24"/>
          <w:lang w:val="es-EC"/>
        </w:rPr>
        <w:t>fatiga</w:t>
      </w:r>
      <w:r w:rsidR="00E00B56" w:rsidRPr="00B059E0">
        <w:rPr>
          <w:szCs w:val="24"/>
          <w:lang w:val="es-EC"/>
        </w:rPr>
        <w:t>, necesidad de frotarse los ojos y</w:t>
      </w:r>
      <w:r w:rsidR="00C36CB5" w:rsidRPr="00B059E0">
        <w:rPr>
          <w:szCs w:val="24"/>
          <w:lang w:val="es-EC"/>
        </w:rPr>
        <w:t xml:space="preserve"> </w:t>
      </w:r>
      <w:r w:rsidR="00E00B56" w:rsidRPr="00B059E0">
        <w:rPr>
          <w:szCs w:val="24"/>
          <w:lang w:val="es-EC"/>
        </w:rPr>
        <w:t>presencia de dolores de cabeza.</w:t>
      </w:r>
    </w:p>
    <w:p w14:paraId="3D6CE12C" w14:textId="16AF83A3" w:rsidR="00BF671D" w:rsidRPr="00B059E0" w:rsidRDefault="00BF671D" w:rsidP="00B059E0">
      <w:pPr>
        <w:spacing w:line="240" w:lineRule="auto"/>
        <w:ind w:firstLine="720"/>
        <w:jc w:val="both"/>
        <w:rPr>
          <w:szCs w:val="24"/>
          <w:lang w:val="es-EC"/>
        </w:rPr>
      </w:pPr>
      <w:r w:rsidRPr="00B059E0">
        <w:rPr>
          <w:szCs w:val="24"/>
          <w:lang w:val="es-EC"/>
        </w:rPr>
        <w:t xml:space="preserve">Estudios sobre </w:t>
      </w:r>
      <w:r w:rsidR="0055624E" w:rsidRPr="00B059E0">
        <w:rPr>
          <w:szCs w:val="24"/>
          <w:lang w:val="es-EC"/>
        </w:rPr>
        <w:t>SI</w:t>
      </w:r>
      <w:r w:rsidRPr="00B059E0">
        <w:rPr>
          <w:szCs w:val="24"/>
          <w:lang w:val="es-EC"/>
        </w:rPr>
        <w:t xml:space="preserve"> como el de Kriss y Evans (2005) y Seychell (2018) demostraron que el malestar físico de un estudiante con síndrome de Irlen se caracteriza por dolores de cabeza, náuseas, cansancio y somnolencia durante la lectura, así como problemas en matemáticas, </w:t>
      </w:r>
      <w:r w:rsidR="00A32F46" w:rsidRPr="00B059E0">
        <w:rPr>
          <w:szCs w:val="24"/>
          <w:lang w:val="es-EC"/>
        </w:rPr>
        <w:t xml:space="preserve">para </w:t>
      </w:r>
      <w:r w:rsidRPr="00B059E0">
        <w:rPr>
          <w:szCs w:val="24"/>
          <w:lang w:val="es-EC"/>
        </w:rPr>
        <w:t>leer notas musicales, copiar</w:t>
      </w:r>
      <w:r w:rsidR="00A32F46" w:rsidRPr="00B059E0">
        <w:rPr>
          <w:szCs w:val="24"/>
          <w:lang w:val="es-EC"/>
        </w:rPr>
        <w:t xml:space="preserve"> y</w:t>
      </w:r>
      <w:r w:rsidRPr="00B059E0">
        <w:rPr>
          <w:szCs w:val="24"/>
          <w:lang w:val="es-EC"/>
        </w:rPr>
        <w:t xml:space="preserve"> escribir</w:t>
      </w:r>
      <w:r w:rsidR="00A32F46" w:rsidRPr="00B059E0">
        <w:rPr>
          <w:szCs w:val="24"/>
          <w:lang w:val="es-EC"/>
        </w:rPr>
        <w:t xml:space="preserve"> o</w:t>
      </w:r>
      <w:r w:rsidRPr="00B059E0">
        <w:rPr>
          <w:szCs w:val="24"/>
          <w:lang w:val="es-EC"/>
        </w:rPr>
        <w:t xml:space="preserve"> saltar</w:t>
      </w:r>
      <w:r w:rsidR="0065460F" w:rsidRPr="00B059E0">
        <w:rPr>
          <w:szCs w:val="24"/>
          <w:lang w:val="es-EC"/>
        </w:rPr>
        <w:t>se</w:t>
      </w:r>
      <w:r w:rsidRPr="00B059E0">
        <w:rPr>
          <w:szCs w:val="24"/>
          <w:lang w:val="es-EC"/>
        </w:rPr>
        <w:t xml:space="preserve"> y leer mal palabras. Irlen (2010) consideró que estas dificultades provocan otro tipo de conductas, como evitar leer, distraerse con facilidad, buscar espacios con poca luz para leer</w:t>
      </w:r>
      <w:r w:rsidR="00A32F46" w:rsidRPr="00B059E0">
        <w:rPr>
          <w:szCs w:val="24"/>
          <w:lang w:val="es-EC"/>
        </w:rPr>
        <w:t>…</w:t>
      </w:r>
      <w:r w:rsidRPr="00B059E0">
        <w:rPr>
          <w:szCs w:val="24"/>
          <w:lang w:val="es-EC"/>
        </w:rPr>
        <w:t xml:space="preserve"> Irlen también mencionó que los pacientes con </w:t>
      </w:r>
      <w:r w:rsidR="00A46ED9" w:rsidRPr="00B059E0">
        <w:rPr>
          <w:szCs w:val="24"/>
          <w:lang w:val="es-EC"/>
        </w:rPr>
        <w:t>SI</w:t>
      </w:r>
      <w:r w:rsidRPr="00B059E0">
        <w:rPr>
          <w:szCs w:val="24"/>
          <w:lang w:val="es-EC"/>
        </w:rPr>
        <w:t xml:space="preserve"> releen los textos para comprenderlos, retrasan el cumplimiento de las tareas y crean otras estrategias de aprendizaje, como </w:t>
      </w:r>
      <w:r w:rsidR="0065460F" w:rsidRPr="00B059E0">
        <w:rPr>
          <w:szCs w:val="24"/>
          <w:lang w:val="es-EC"/>
        </w:rPr>
        <w:t xml:space="preserve">los </w:t>
      </w:r>
      <w:r w:rsidR="00A32F46" w:rsidRPr="00B059E0">
        <w:rPr>
          <w:szCs w:val="24"/>
          <w:lang w:val="es-EC"/>
        </w:rPr>
        <w:t>“</w:t>
      </w:r>
      <w:r w:rsidRPr="00B059E0">
        <w:rPr>
          <w:szCs w:val="24"/>
          <w:lang w:val="es-EC"/>
        </w:rPr>
        <w:t>aprendices auditivos</w:t>
      </w:r>
      <w:r w:rsidR="00A32F46" w:rsidRPr="00B059E0">
        <w:rPr>
          <w:szCs w:val="24"/>
          <w:lang w:val="es-EC"/>
        </w:rPr>
        <w:t>”</w:t>
      </w:r>
      <w:r w:rsidRPr="00B059E0">
        <w:rPr>
          <w:szCs w:val="24"/>
          <w:lang w:val="es-EC"/>
        </w:rPr>
        <w:t xml:space="preserve"> que prefieren escuchar a tener que leer. Además, Stone (2003) afirmó que los síntomas de </w:t>
      </w:r>
      <w:r w:rsidR="0046618C" w:rsidRPr="00B059E0">
        <w:rPr>
          <w:szCs w:val="24"/>
          <w:lang w:val="es-EC"/>
        </w:rPr>
        <w:t>SI</w:t>
      </w:r>
      <w:r w:rsidRPr="00B059E0">
        <w:rPr>
          <w:szCs w:val="24"/>
          <w:lang w:val="es-EC"/>
        </w:rPr>
        <w:t>, TDAH y dislexia pueden superponerse.</w:t>
      </w:r>
    </w:p>
    <w:p w14:paraId="4D6B5ECC" w14:textId="549157D6" w:rsidR="004B3CCD" w:rsidRPr="00B059E0" w:rsidRDefault="4F7C5711" w:rsidP="00B059E0">
      <w:pPr>
        <w:spacing w:line="240" w:lineRule="auto"/>
        <w:ind w:firstLine="720"/>
        <w:jc w:val="both"/>
        <w:rPr>
          <w:szCs w:val="24"/>
          <w:lang w:val="es-EC"/>
        </w:rPr>
      </w:pPr>
      <w:r w:rsidRPr="00B059E0">
        <w:rPr>
          <w:szCs w:val="24"/>
          <w:lang w:val="es-EC"/>
        </w:rPr>
        <w:t>Sin embargo</w:t>
      </w:r>
      <w:r w:rsidR="00A11F5F" w:rsidRPr="00B059E0">
        <w:rPr>
          <w:szCs w:val="24"/>
          <w:lang w:val="es-EC"/>
        </w:rPr>
        <w:t>,</w:t>
      </w:r>
      <w:r w:rsidRPr="00B059E0">
        <w:rPr>
          <w:color w:val="4471C4"/>
          <w:szCs w:val="24"/>
          <w:lang w:val="es-EC"/>
        </w:rPr>
        <w:t xml:space="preserve"> </w:t>
      </w:r>
      <w:r w:rsidRPr="00B059E0">
        <w:rPr>
          <w:rFonts w:eastAsia="Times New Roman"/>
          <w:szCs w:val="24"/>
          <w:lang w:val="es-EC"/>
        </w:rPr>
        <w:t>Sacoman (2020) indicó que signos como alteraciones del habla, la escritura o la percepción auditiva, la escritura invertida, la pronunciación incorrecta o la falta de comprensión de las instrucciones verbales no se asocian con SI</w:t>
      </w:r>
      <w:r w:rsidRPr="00B059E0">
        <w:rPr>
          <w:szCs w:val="24"/>
          <w:lang w:val="es-EC"/>
        </w:rPr>
        <w:t>. Por tanto, es crucial subrayar que podemos diferenciar los problemas de comprensión lectora en SI por su naturaleza perceptiva. En consecuencia, la comprensión visual podría verse afectada sin que se altere la comprensión oral.</w:t>
      </w:r>
    </w:p>
    <w:p w14:paraId="0F890903" w14:textId="1B5BCDCD" w:rsidR="00535703" w:rsidRPr="00B059E0" w:rsidRDefault="07AE4154" w:rsidP="00B059E0">
      <w:pPr>
        <w:spacing w:line="240" w:lineRule="auto"/>
        <w:ind w:firstLine="720"/>
        <w:jc w:val="both"/>
        <w:rPr>
          <w:szCs w:val="24"/>
          <w:lang w:val="es-ES"/>
        </w:rPr>
      </w:pPr>
      <w:r w:rsidRPr="00B059E0">
        <w:rPr>
          <w:szCs w:val="24"/>
          <w:lang w:val="es-EC"/>
        </w:rPr>
        <w:t xml:space="preserve">Entre las dificultades de lectura </w:t>
      </w:r>
      <w:r w:rsidR="00A11F5F" w:rsidRPr="00B059E0">
        <w:rPr>
          <w:szCs w:val="24"/>
          <w:lang w:val="es-EC"/>
        </w:rPr>
        <w:t>d</w:t>
      </w:r>
      <w:r w:rsidR="007F1E30" w:rsidRPr="00B059E0">
        <w:rPr>
          <w:szCs w:val="24"/>
          <w:lang w:val="es-EC"/>
        </w:rPr>
        <w:t xml:space="preserve">el </w:t>
      </w:r>
      <w:r w:rsidRPr="00B059E0">
        <w:rPr>
          <w:szCs w:val="24"/>
          <w:lang w:val="es-EC"/>
        </w:rPr>
        <w:t xml:space="preserve">SI, Guimarães y Guimarães (2013) encontraron problemas en la adquisición de lectura entre estudiantes brasileños. Estos autores también notaron que, aunque tenían buena fluidez verbal, agilidad de razonamiento, inteligencia y </w:t>
      </w:r>
      <w:r w:rsidR="00A11F5F" w:rsidRPr="00B059E0">
        <w:rPr>
          <w:szCs w:val="24"/>
          <w:lang w:val="es-EC"/>
        </w:rPr>
        <w:t>fuero</w:t>
      </w:r>
      <w:r w:rsidRPr="00B059E0">
        <w:rPr>
          <w:szCs w:val="24"/>
          <w:lang w:val="es-EC"/>
        </w:rPr>
        <w:t>n participativos, los estudiantes con S</w:t>
      </w:r>
      <w:r w:rsidR="0055624E" w:rsidRPr="00B059E0">
        <w:rPr>
          <w:szCs w:val="24"/>
          <w:lang w:val="es-EC"/>
        </w:rPr>
        <w:t>I</w:t>
      </w:r>
      <w:r w:rsidRPr="00B059E0">
        <w:rPr>
          <w:szCs w:val="24"/>
          <w:lang w:val="es-EC"/>
        </w:rPr>
        <w:t xml:space="preserve"> tendían a fallar mucho en las tareas de lectura. Además, Brien et al. (2013) destacaron que los signos presentes en la lectura de las personas con </w:t>
      </w:r>
      <w:bookmarkStart w:id="1" w:name="_Int_ZGdMIzqd"/>
      <w:r w:rsidRPr="00B059E0">
        <w:rPr>
          <w:szCs w:val="24"/>
          <w:lang w:val="es-EC"/>
        </w:rPr>
        <w:t>SI pueden ser</w:t>
      </w:r>
      <w:bookmarkEnd w:id="1"/>
      <w:r w:rsidRPr="00B059E0">
        <w:rPr>
          <w:szCs w:val="24"/>
          <w:lang w:val="es-EC"/>
        </w:rPr>
        <w:t xml:space="preserve">: lectura lenta con excesivas pausas entre palabras, dificultades con hojas de fondo blanco, dificultad para leer durante largos períodos y repetición continua para lograr la comprensión, </w:t>
      </w:r>
      <w:r w:rsidR="00A11F5F" w:rsidRPr="00B059E0">
        <w:rPr>
          <w:szCs w:val="24"/>
          <w:lang w:val="es-EC"/>
        </w:rPr>
        <w:t>a menudo dando como resultado poco</w:t>
      </w:r>
      <w:r w:rsidR="00A11F5F" w:rsidRPr="00B059E0">
        <w:rPr>
          <w:szCs w:val="24"/>
          <w:lang w:val="es-ES"/>
        </w:rPr>
        <w:t xml:space="preserve"> </w:t>
      </w:r>
      <w:r w:rsidRPr="00B059E0">
        <w:rPr>
          <w:szCs w:val="24"/>
          <w:lang w:val="es-EC"/>
        </w:rPr>
        <w:t xml:space="preserve">deseo y motivación por aprender. En la misma línea, otros autores sugirieron que el uso del color a través de superposiciones espectrales o lentes de colores favorecería los procesos de lectura (Irlen, 1983; Monger et al., 2015). </w:t>
      </w:r>
      <w:r w:rsidRPr="00B059E0">
        <w:rPr>
          <w:rFonts w:eastAsia="Times New Roman"/>
          <w:szCs w:val="24"/>
          <w:lang w:val="es-EC"/>
        </w:rPr>
        <w:t>Wilkins (2003) también mencionó que</w:t>
      </w:r>
      <w:r w:rsidR="00A32F46" w:rsidRPr="00B059E0">
        <w:rPr>
          <w:rFonts w:eastAsia="Times New Roman"/>
          <w:szCs w:val="24"/>
          <w:lang w:val="es-EC"/>
        </w:rPr>
        <w:t>,</w:t>
      </w:r>
      <w:r w:rsidRPr="00B059E0">
        <w:rPr>
          <w:rFonts w:eastAsia="Times New Roman"/>
          <w:szCs w:val="24"/>
          <w:lang w:val="es-EC"/>
        </w:rPr>
        <w:t xml:space="preserve"> a pesar de la controversia de la evidencia científica insuficiente con respecto al uso del color para mejorar el rendimiento de lectura, las superposiciones de colores pueden ser una ayuda para abordar algunos de los síntomas del estrés visual, incluso dolores de cabeza al leer</w:t>
      </w:r>
      <w:r w:rsidR="00A32F46" w:rsidRPr="00B059E0">
        <w:rPr>
          <w:rFonts w:eastAsia="Times New Roman"/>
          <w:szCs w:val="24"/>
          <w:lang w:val="es-EC"/>
        </w:rPr>
        <w:t>,</w:t>
      </w:r>
      <w:r w:rsidRPr="00B059E0">
        <w:rPr>
          <w:rFonts w:eastAsia="Times New Roman"/>
          <w:szCs w:val="24"/>
          <w:lang w:val="es-EC"/>
        </w:rPr>
        <w:t xml:space="preserve"> y mejorar la velocidad de lectura.</w:t>
      </w:r>
    </w:p>
    <w:p w14:paraId="1DF73965" w14:textId="74ED8C4D" w:rsidR="004B3CCD" w:rsidRPr="00B059E0" w:rsidRDefault="001C1939" w:rsidP="00B059E0">
      <w:pPr>
        <w:spacing w:line="240" w:lineRule="auto"/>
        <w:ind w:firstLine="720"/>
        <w:jc w:val="both"/>
        <w:rPr>
          <w:szCs w:val="24"/>
          <w:highlight w:val="cyan"/>
          <w:lang w:val="es-EC"/>
        </w:rPr>
      </w:pPr>
      <w:r w:rsidRPr="00B059E0">
        <w:rPr>
          <w:szCs w:val="24"/>
          <w:lang w:val="es-EC"/>
        </w:rPr>
        <w:t xml:space="preserve">Los estudios previos sobre lectura y SI con evidencia empírica son limitados. Sin embargo, Tacuri-Reino et al. (2018) identificaron diferencias entre grupos Irlen y no Irlen. Para las tareas de lectura, los autores utilizaron dos historias de 100 palabras y registraron los errores en las habilidades de lectura y comprensión. Para el proceso de evaluación de la comprensión lectora se consideró el número de preguntas </w:t>
      </w:r>
      <w:r w:rsidR="007F1E30" w:rsidRPr="00B059E0">
        <w:rPr>
          <w:szCs w:val="24"/>
          <w:lang w:val="es-EC"/>
        </w:rPr>
        <w:t>correctas</w:t>
      </w:r>
      <w:r w:rsidRPr="00B059E0">
        <w:rPr>
          <w:szCs w:val="24"/>
          <w:lang w:val="es-EC"/>
        </w:rPr>
        <w:t xml:space="preserve"> y para la destreza lectora se consideraron las omisiones </w:t>
      </w:r>
      <w:r w:rsidRPr="00B059E0">
        <w:rPr>
          <w:szCs w:val="24"/>
          <w:lang w:val="es-EC"/>
        </w:rPr>
        <w:lastRenderedPageBreak/>
        <w:t>o sustituciones de palabras y signos de puntuación. Sin embargo, estos autores no especificaron si estas tareas habían sido previamente validadas.</w:t>
      </w:r>
    </w:p>
    <w:p w14:paraId="3798B7D2" w14:textId="4CDEEFAE" w:rsidR="6A6F3AE7" w:rsidRPr="00B059E0" w:rsidRDefault="741E2879" w:rsidP="00B059E0">
      <w:pPr>
        <w:spacing w:line="240" w:lineRule="auto"/>
        <w:jc w:val="both"/>
        <w:rPr>
          <w:szCs w:val="24"/>
          <w:highlight w:val="cyan"/>
          <w:lang w:val="es-EC"/>
        </w:rPr>
      </w:pPr>
      <w:r w:rsidRPr="00B059E0">
        <w:rPr>
          <w:szCs w:val="24"/>
          <w:lang w:val="es-EC"/>
        </w:rPr>
        <w:t xml:space="preserve">Así, la primera aportación científica y novedad del presente estudio es examinar las características de las habilidades lectoras en </w:t>
      </w:r>
      <w:r w:rsidR="0096534E" w:rsidRPr="00B059E0">
        <w:rPr>
          <w:szCs w:val="24"/>
          <w:lang w:val="es-EC"/>
        </w:rPr>
        <w:t>estudiante</w:t>
      </w:r>
      <w:r w:rsidRPr="00B059E0">
        <w:rPr>
          <w:szCs w:val="24"/>
          <w:lang w:val="es-EC"/>
        </w:rPr>
        <w:t xml:space="preserve">s con </w:t>
      </w:r>
      <w:r w:rsidR="00101E34" w:rsidRPr="00B059E0">
        <w:rPr>
          <w:szCs w:val="24"/>
          <w:lang w:val="es-EC"/>
        </w:rPr>
        <w:t>SI</w:t>
      </w:r>
      <w:r w:rsidRPr="00B059E0">
        <w:rPr>
          <w:szCs w:val="24"/>
          <w:lang w:val="es-EC"/>
        </w:rPr>
        <w:t xml:space="preserve"> (grupo síndrome de Irlen, </w:t>
      </w:r>
      <w:r w:rsidR="0065326E" w:rsidRPr="00B059E0">
        <w:rPr>
          <w:szCs w:val="24"/>
          <w:lang w:val="es-EC"/>
        </w:rPr>
        <w:t>GSI</w:t>
      </w:r>
      <w:r w:rsidRPr="00B059E0">
        <w:rPr>
          <w:szCs w:val="24"/>
          <w:lang w:val="es-EC"/>
        </w:rPr>
        <w:t xml:space="preserve">) y compararlas con el grupo no Irlen (grupo control, GC) mediante </w:t>
      </w:r>
      <w:r w:rsidR="005A0927" w:rsidRPr="00B059E0">
        <w:rPr>
          <w:szCs w:val="24"/>
          <w:lang w:val="es-EC"/>
        </w:rPr>
        <w:t>la prueba del</w:t>
      </w:r>
      <w:r w:rsidR="0096534E" w:rsidRPr="00B059E0">
        <w:rPr>
          <w:szCs w:val="24"/>
          <w:lang w:val="es-EC"/>
        </w:rPr>
        <w:t xml:space="preserve"> </w:t>
      </w:r>
      <w:r w:rsidRPr="00B059E0">
        <w:rPr>
          <w:rFonts w:eastAsia="Times New Roman"/>
          <w:szCs w:val="24"/>
          <w:lang w:val="es-EC"/>
        </w:rPr>
        <w:t>PROLEC- R</w:t>
      </w:r>
      <w:r w:rsidR="0096534E" w:rsidRPr="00B059E0">
        <w:rPr>
          <w:rFonts w:eastAsia="Times New Roman"/>
          <w:szCs w:val="24"/>
          <w:lang w:val="es-EC"/>
        </w:rPr>
        <w:t xml:space="preserve"> </w:t>
      </w:r>
      <w:r w:rsidRPr="00B059E0">
        <w:rPr>
          <w:rFonts w:eastAsia="Times New Roman"/>
          <w:szCs w:val="24"/>
          <w:lang w:val="es-EC"/>
        </w:rPr>
        <w:t>(Cuetos et al., 2009)</w:t>
      </w:r>
      <w:r w:rsidR="00A32F46" w:rsidRPr="00B059E0">
        <w:rPr>
          <w:rFonts w:eastAsia="Times New Roman"/>
          <w:szCs w:val="24"/>
          <w:lang w:val="es-EC"/>
        </w:rPr>
        <w:t>,</w:t>
      </w:r>
      <w:r w:rsidRPr="00B059E0">
        <w:rPr>
          <w:rFonts w:eastAsia="Times New Roman"/>
          <w:szCs w:val="24"/>
          <w:lang w:val="es-EC"/>
        </w:rPr>
        <w:t xml:space="preserve"> más concretamente</w:t>
      </w:r>
      <w:r w:rsidR="00A32F46" w:rsidRPr="00B059E0">
        <w:rPr>
          <w:rFonts w:eastAsia="Times New Roman"/>
          <w:szCs w:val="24"/>
          <w:lang w:val="es-EC"/>
        </w:rPr>
        <w:t xml:space="preserve"> en </w:t>
      </w:r>
      <w:r w:rsidRPr="00B059E0">
        <w:rPr>
          <w:rFonts w:eastAsia="Times New Roman"/>
          <w:szCs w:val="24"/>
          <w:lang w:val="es-EC"/>
        </w:rPr>
        <w:t xml:space="preserve">las tareas de Identificación de Letras, </w:t>
      </w:r>
      <w:r w:rsidR="0065326E" w:rsidRPr="00B059E0">
        <w:rPr>
          <w:rFonts w:eastAsia="Times New Roman"/>
          <w:szCs w:val="24"/>
          <w:lang w:val="es-EC"/>
        </w:rPr>
        <w:t xml:space="preserve">Procesos </w:t>
      </w:r>
      <w:r w:rsidRPr="00B059E0">
        <w:rPr>
          <w:rFonts w:eastAsia="Times New Roman"/>
          <w:szCs w:val="24"/>
          <w:lang w:val="es-EC"/>
        </w:rPr>
        <w:t>Léxico</w:t>
      </w:r>
      <w:r w:rsidR="0065326E" w:rsidRPr="00B059E0">
        <w:rPr>
          <w:rFonts w:eastAsia="Times New Roman"/>
          <w:szCs w:val="24"/>
          <w:lang w:val="es-EC"/>
        </w:rPr>
        <w:t>s</w:t>
      </w:r>
      <w:r w:rsidRPr="00B059E0">
        <w:rPr>
          <w:rFonts w:eastAsia="Times New Roman"/>
          <w:szCs w:val="24"/>
          <w:lang w:val="es-EC"/>
        </w:rPr>
        <w:t>, Gram</w:t>
      </w:r>
      <w:r w:rsidR="0065326E" w:rsidRPr="00B059E0">
        <w:rPr>
          <w:rFonts w:eastAsia="Times New Roman"/>
          <w:szCs w:val="24"/>
          <w:lang w:val="es-EC"/>
        </w:rPr>
        <w:t>aticales</w:t>
      </w:r>
      <w:r w:rsidRPr="00B059E0">
        <w:rPr>
          <w:rFonts w:eastAsia="Times New Roman"/>
          <w:szCs w:val="24"/>
          <w:lang w:val="es-EC"/>
        </w:rPr>
        <w:t xml:space="preserve"> y Semánticos.</w:t>
      </w:r>
    </w:p>
    <w:p w14:paraId="6B863C30" w14:textId="1F9DB5C9" w:rsidR="7EE5F1D8" w:rsidRPr="00B059E0" w:rsidRDefault="07AE4154" w:rsidP="00B059E0">
      <w:pPr>
        <w:spacing w:line="240" w:lineRule="auto"/>
        <w:ind w:firstLine="708"/>
        <w:jc w:val="both"/>
        <w:rPr>
          <w:rFonts w:eastAsia="Times New Roman"/>
          <w:szCs w:val="24"/>
          <w:lang w:val="es-EC"/>
        </w:rPr>
      </w:pPr>
      <w:r w:rsidRPr="00B059E0">
        <w:rPr>
          <w:rFonts w:eastAsia="Times New Roman"/>
          <w:szCs w:val="24"/>
          <w:lang w:val="es-EC"/>
        </w:rPr>
        <w:t xml:space="preserve">La </w:t>
      </w:r>
      <w:r w:rsidRPr="00B059E0">
        <w:rPr>
          <w:szCs w:val="24"/>
          <w:lang w:val="es-EC"/>
        </w:rPr>
        <w:t>segunda novedad de este estudio es que los investigadores realizaron un análisis diferenciado de los procesos semánticos, especialmente entre la comprensión lectora oral y visual</w:t>
      </w:r>
      <w:r w:rsidR="00A32F46" w:rsidRPr="00B059E0">
        <w:rPr>
          <w:szCs w:val="24"/>
          <w:lang w:val="es-EC"/>
        </w:rPr>
        <w:t>,</w:t>
      </w:r>
      <w:r w:rsidRPr="00B059E0">
        <w:rPr>
          <w:szCs w:val="24"/>
          <w:lang w:val="es-EC"/>
        </w:rPr>
        <w:t xml:space="preserve"> para determinar si ambas se ven afectadas o si </w:t>
      </w:r>
      <w:r w:rsidR="00F20D5C" w:rsidRPr="00B059E0">
        <w:rPr>
          <w:szCs w:val="24"/>
          <w:lang w:val="es-EC"/>
        </w:rPr>
        <w:t>el</w:t>
      </w:r>
      <w:r w:rsidRPr="00B059E0">
        <w:rPr>
          <w:szCs w:val="24"/>
          <w:lang w:val="es-EC"/>
        </w:rPr>
        <w:t xml:space="preserve"> SI afecta más a la comprensión lectora visual que a la comprensión oral.</w:t>
      </w:r>
    </w:p>
    <w:p w14:paraId="26346C03" w14:textId="7D46D16E" w:rsidR="00767491" w:rsidRPr="00B059E0" w:rsidRDefault="07AE4154" w:rsidP="00B059E0">
      <w:pPr>
        <w:spacing w:line="240" w:lineRule="auto"/>
        <w:ind w:firstLine="708"/>
        <w:jc w:val="both"/>
        <w:rPr>
          <w:rFonts w:eastAsia="Times New Roman"/>
          <w:szCs w:val="24"/>
          <w:lang w:val="es-EC"/>
        </w:rPr>
      </w:pPr>
      <w:r w:rsidRPr="00B059E0">
        <w:rPr>
          <w:szCs w:val="24"/>
          <w:lang w:val="es-EC"/>
        </w:rPr>
        <w:t xml:space="preserve">En consecuencia, la primera hipótesis es que no se encontrarían diferencias significativas en la identificación de letras. Este proceso sería muy elemental en el aprendizaje de la lectura. Los autores </w:t>
      </w:r>
      <w:r w:rsidR="0065460F" w:rsidRPr="00B059E0">
        <w:rPr>
          <w:szCs w:val="24"/>
          <w:lang w:val="es-EC"/>
        </w:rPr>
        <w:t>asumieron</w:t>
      </w:r>
      <w:r w:rsidRPr="00B059E0">
        <w:rPr>
          <w:szCs w:val="24"/>
          <w:lang w:val="es-EC"/>
        </w:rPr>
        <w:t xml:space="preserve"> que los niños de 8-9 años habr</w:t>
      </w:r>
      <w:r w:rsidR="00CE3342" w:rsidRPr="00B059E0">
        <w:rPr>
          <w:szCs w:val="24"/>
          <w:lang w:val="es-EC"/>
        </w:rPr>
        <w:t xml:space="preserve">ían </w:t>
      </w:r>
      <w:r w:rsidRPr="00B059E0">
        <w:rPr>
          <w:szCs w:val="24"/>
          <w:lang w:val="es-EC"/>
        </w:rPr>
        <w:t xml:space="preserve">adquirido esta habilidad por completo, ya que el aprendizaje de las letras se realiza de forma aislada. Incluso los niños podrían haberlo aprendido con material didáctico que garantizara el aprendizaje a esta edad. Por el contrario, la identificación de letras en la lectura directa podría alterarse junto con el resto del texto. </w:t>
      </w:r>
      <w:r w:rsidRPr="00B059E0">
        <w:rPr>
          <w:rFonts w:eastAsia="Times New Roman"/>
          <w:szCs w:val="24"/>
          <w:lang w:val="es-EC"/>
        </w:rPr>
        <w:t>Adicionalmente, dentro de los Procesos Léxicos y Gram</w:t>
      </w:r>
      <w:r w:rsidR="007B7B93" w:rsidRPr="00B059E0">
        <w:rPr>
          <w:rFonts w:eastAsia="Times New Roman"/>
          <w:szCs w:val="24"/>
          <w:lang w:val="es-EC"/>
        </w:rPr>
        <w:t>aticales</w:t>
      </w:r>
      <w:r w:rsidRPr="00B059E0">
        <w:rPr>
          <w:rFonts w:eastAsia="Times New Roman"/>
          <w:szCs w:val="24"/>
          <w:lang w:val="es-EC"/>
        </w:rPr>
        <w:t xml:space="preserve">, </w:t>
      </w:r>
      <w:r w:rsidRPr="00B059E0">
        <w:rPr>
          <w:szCs w:val="24"/>
          <w:lang w:val="es-EC"/>
        </w:rPr>
        <w:t xml:space="preserve">se consideró el énfasis en las tareas de reconocimiento de palabras que pudieran afectar la comprensión lectora (Cuetos, 2010; Perfetti, 1994) </w:t>
      </w:r>
      <w:r w:rsidRPr="00B059E0">
        <w:rPr>
          <w:rFonts w:eastAsia="Times New Roman"/>
          <w:szCs w:val="24"/>
          <w:lang w:val="es-EC"/>
        </w:rPr>
        <w:t>.</w:t>
      </w:r>
    </w:p>
    <w:p w14:paraId="3C6F9894" w14:textId="59F088DF" w:rsidR="00B63B61" w:rsidRPr="00B059E0" w:rsidRDefault="4379D923" w:rsidP="00B059E0">
      <w:pPr>
        <w:spacing w:line="240" w:lineRule="auto"/>
        <w:ind w:firstLine="720"/>
        <w:jc w:val="both"/>
        <w:rPr>
          <w:szCs w:val="24"/>
          <w:lang w:val="es-EC"/>
        </w:rPr>
      </w:pPr>
      <w:r w:rsidRPr="00B059E0">
        <w:rPr>
          <w:rFonts w:eastAsia="Times New Roman"/>
          <w:color w:val="000000" w:themeColor="text1"/>
          <w:szCs w:val="24"/>
          <w:lang w:val="es-EC"/>
        </w:rPr>
        <w:t xml:space="preserve">La segunda hipótesis del estudio es que habría diferencias significativas en los procesos léxicos. </w:t>
      </w:r>
      <w:r w:rsidR="0096534E" w:rsidRPr="00B059E0">
        <w:rPr>
          <w:rFonts w:eastAsia="Times New Roman"/>
          <w:color w:val="000000" w:themeColor="text1"/>
          <w:szCs w:val="24"/>
          <w:lang w:val="es-EC"/>
        </w:rPr>
        <w:t>La ejecución</w:t>
      </w:r>
      <w:r w:rsidRPr="00B059E0">
        <w:rPr>
          <w:rFonts w:eastAsia="Times New Roman"/>
          <w:color w:val="000000" w:themeColor="text1"/>
          <w:szCs w:val="24"/>
          <w:lang w:val="es-EC"/>
        </w:rPr>
        <w:t xml:space="preserve"> del </w:t>
      </w:r>
      <w:r w:rsidR="00075621" w:rsidRPr="00B059E0">
        <w:rPr>
          <w:rFonts w:eastAsia="Times New Roman"/>
          <w:color w:val="000000" w:themeColor="text1"/>
          <w:szCs w:val="24"/>
          <w:lang w:val="es-EC"/>
        </w:rPr>
        <w:t>GSI</w:t>
      </w:r>
      <w:r w:rsidRPr="00B059E0">
        <w:rPr>
          <w:rFonts w:eastAsia="Times New Roman"/>
          <w:color w:val="000000" w:themeColor="text1"/>
          <w:szCs w:val="24"/>
          <w:lang w:val="es-EC"/>
        </w:rPr>
        <w:t xml:space="preserve"> sería peor comparado con el del </w:t>
      </w:r>
      <w:r w:rsidR="00F44C9D" w:rsidRPr="00B059E0">
        <w:rPr>
          <w:rFonts w:eastAsia="Times New Roman"/>
          <w:color w:val="000000" w:themeColor="text1"/>
          <w:szCs w:val="24"/>
          <w:lang w:val="es-EC"/>
        </w:rPr>
        <w:t>G</w:t>
      </w:r>
      <w:r w:rsidR="008F3F07" w:rsidRPr="00B059E0">
        <w:rPr>
          <w:rFonts w:eastAsia="Times New Roman"/>
          <w:color w:val="000000" w:themeColor="text1"/>
          <w:szCs w:val="24"/>
          <w:lang w:val="es-EC"/>
        </w:rPr>
        <w:t>C</w:t>
      </w:r>
      <w:r w:rsidRPr="00B059E0">
        <w:rPr>
          <w:rFonts w:eastAsia="Times New Roman"/>
          <w:szCs w:val="24"/>
          <w:lang w:val="es-EC"/>
        </w:rPr>
        <w:t xml:space="preserve">. </w:t>
      </w:r>
      <w:r w:rsidR="0096534E" w:rsidRPr="00B059E0">
        <w:rPr>
          <w:szCs w:val="24"/>
          <w:lang w:val="es-EC"/>
        </w:rPr>
        <w:t>C</w:t>
      </w:r>
      <w:r w:rsidR="001C1939" w:rsidRPr="00B059E0">
        <w:rPr>
          <w:szCs w:val="24"/>
          <w:lang w:val="es-EC"/>
        </w:rPr>
        <w:t xml:space="preserve">omo tercera hipótesis, se espera que el </w:t>
      </w:r>
      <w:r w:rsidR="00075621" w:rsidRPr="00B059E0">
        <w:rPr>
          <w:szCs w:val="24"/>
          <w:lang w:val="es-EC"/>
        </w:rPr>
        <w:t>GSI</w:t>
      </w:r>
      <w:r w:rsidR="001C1939" w:rsidRPr="00B059E0">
        <w:rPr>
          <w:szCs w:val="24"/>
          <w:lang w:val="es-EC"/>
        </w:rPr>
        <w:t xml:space="preserve"> tenga peor </w:t>
      </w:r>
      <w:r w:rsidR="0096534E" w:rsidRPr="00B059E0">
        <w:rPr>
          <w:color w:val="000000" w:themeColor="text1"/>
          <w:szCs w:val="24"/>
          <w:lang w:val="es-EC"/>
        </w:rPr>
        <w:t>ejecución</w:t>
      </w:r>
      <w:r w:rsidR="001C1939" w:rsidRPr="00B059E0">
        <w:rPr>
          <w:color w:val="000000" w:themeColor="text1"/>
          <w:szCs w:val="24"/>
          <w:lang w:val="es-EC"/>
        </w:rPr>
        <w:t xml:space="preserve"> que el GC en </w:t>
      </w:r>
      <w:r w:rsidR="0096534E" w:rsidRPr="00B059E0">
        <w:rPr>
          <w:color w:val="000000" w:themeColor="text1"/>
          <w:szCs w:val="24"/>
          <w:lang w:val="es-EC"/>
        </w:rPr>
        <w:t>capacidad</w:t>
      </w:r>
      <w:r w:rsidR="001C1939" w:rsidRPr="00B059E0">
        <w:rPr>
          <w:color w:val="000000" w:themeColor="text1"/>
          <w:szCs w:val="24"/>
          <w:lang w:val="es-EC"/>
        </w:rPr>
        <w:t xml:space="preserve"> gramatical </w:t>
      </w:r>
      <w:r w:rsidR="001C1939" w:rsidRPr="00B059E0">
        <w:rPr>
          <w:szCs w:val="24"/>
          <w:lang w:val="es-EC"/>
        </w:rPr>
        <w:t xml:space="preserve">porque las funciones perceptivas podrían alterar su eficiencia y capacidad para discriminar palabras, pseudopalabras y signos de puntuación. En cuanto a los procesos semánticos, la cuarta hipótesis plantea que el </w:t>
      </w:r>
      <w:r w:rsidR="00075621" w:rsidRPr="00B059E0">
        <w:rPr>
          <w:szCs w:val="24"/>
          <w:lang w:val="es-EC"/>
        </w:rPr>
        <w:t>GSI</w:t>
      </w:r>
      <w:r w:rsidR="001C1939" w:rsidRPr="00B059E0">
        <w:rPr>
          <w:szCs w:val="24"/>
          <w:lang w:val="es-EC"/>
        </w:rPr>
        <w:t xml:space="preserve"> se desempeñaría peor que el GC. Esta diferencia sería más notable en tareas de comprensión visual. En cuanto a la comprensión oral, no esperaríamos encontrar diferencias significativas</w:t>
      </w:r>
      <w:r w:rsidR="008F3F07" w:rsidRPr="00B059E0">
        <w:rPr>
          <w:szCs w:val="24"/>
          <w:lang w:val="es-EC"/>
        </w:rPr>
        <w:t>,</w:t>
      </w:r>
      <w:r w:rsidR="001C1939" w:rsidRPr="00B059E0">
        <w:rPr>
          <w:szCs w:val="24"/>
          <w:lang w:val="es-EC"/>
        </w:rPr>
        <w:t xml:space="preserve"> ya que la SI afecta únicamente a los procesos visuales.</w:t>
      </w:r>
    </w:p>
    <w:p w14:paraId="5A9A6EDA" w14:textId="77777777" w:rsidR="00C55161" w:rsidRPr="00B059E0" w:rsidRDefault="00C55161" w:rsidP="00B059E0">
      <w:pPr>
        <w:spacing w:line="240" w:lineRule="auto"/>
        <w:ind w:firstLine="720"/>
        <w:jc w:val="both"/>
        <w:rPr>
          <w:szCs w:val="24"/>
          <w:lang w:val="es-EC"/>
        </w:rPr>
      </w:pPr>
    </w:p>
    <w:p w14:paraId="3387BC7F" w14:textId="77777777" w:rsidR="004B3CCD" w:rsidRPr="00B059E0" w:rsidRDefault="001C1939" w:rsidP="00B059E0">
      <w:pPr>
        <w:spacing w:line="240" w:lineRule="auto"/>
        <w:ind w:firstLine="0"/>
        <w:jc w:val="both"/>
        <w:rPr>
          <w:b/>
          <w:bCs/>
          <w:szCs w:val="24"/>
          <w:lang w:val="es-EC"/>
        </w:rPr>
      </w:pPr>
      <w:r w:rsidRPr="00B059E0">
        <w:rPr>
          <w:b/>
          <w:bCs/>
          <w:szCs w:val="24"/>
          <w:lang w:val="es-EC"/>
        </w:rPr>
        <w:t>Método</w:t>
      </w:r>
      <w:bookmarkStart w:id="2" w:name="_Toc4620053"/>
      <w:bookmarkStart w:id="3" w:name="_Toc40025285"/>
      <w:bookmarkStart w:id="4" w:name="_Toc42904635"/>
      <w:bookmarkStart w:id="5" w:name="_Toc45662995"/>
    </w:p>
    <w:p w14:paraId="79571A57" w14:textId="77777777" w:rsidR="004B3CCD" w:rsidRPr="00B059E0" w:rsidRDefault="001C1939" w:rsidP="00B059E0">
      <w:pPr>
        <w:spacing w:line="240" w:lineRule="auto"/>
        <w:ind w:firstLine="0"/>
        <w:jc w:val="both"/>
        <w:rPr>
          <w:b/>
          <w:bCs/>
          <w:i/>
          <w:iCs/>
          <w:szCs w:val="24"/>
          <w:lang w:val="es-EC"/>
        </w:rPr>
      </w:pPr>
      <w:r w:rsidRPr="00B059E0">
        <w:rPr>
          <w:b/>
          <w:bCs/>
          <w:i/>
          <w:iCs/>
          <w:szCs w:val="24"/>
          <w:lang w:val="es-EC"/>
        </w:rPr>
        <w:t>Participantes</w:t>
      </w:r>
      <w:bookmarkEnd w:id="2"/>
      <w:bookmarkEnd w:id="3"/>
      <w:bookmarkEnd w:id="4"/>
      <w:bookmarkEnd w:id="5"/>
    </w:p>
    <w:p w14:paraId="1D0BB920" w14:textId="397B77EF" w:rsidR="4C9CB5AB" w:rsidRDefault="07AE4154" w:rsidP="00B059E0">
      <w:pPr>
        <w:spacing w:line="240" w:lineRule="auto"/>
        <w:ind w:firstLine="720"/>
        <w:jc w:val="both"/>
        <w:rPr>
          <w:szCs w:val="24"/>
          <w:lang w:val="es-EC"/>
        </w:rPr>
      </w:pPr>
      <w:r w:rsidRPr="00B059E0">
        <w:rPr>
          <w:szCs w:val="24"/>
          <w:lang w:val="es-EC"/>
        </w:rPr>
        <w:t>De los 292 niños de 4º y 5º</w:t>
      </w:r>
      <w:r w:rsidRPr="00B059E0">
        <w:rPr>
          <w:szCs w:val="24"/>
          <w:vertAlign w:val="superscript"/>
          <w:lang w:val="es-EC"/>
        </w:rPr>
        <w:t xml:space="preserve"> </w:t>
      </w:r>
      <w:r w:rsidR="00B71952" w:rsidRPr="00B059E0">
        <w:rPr>
          <w:szCs w:val="24"/>
          <w:lang w:val="es-EC"/>
        </w:rPr>
        <w:t>grado e</w:t>
      </w:r>
      <w:r w:rsidRPr="00B059E0">
        <w:rPr>
          <w:szCs w:val="24"/>
          <w:lang w:val="es-EC"/>
        </w:rPr>
        <w:t>valuados con la</w:t>
      </w:r>
      <w:r w:rsidR="0061251C" w:rsidRPr="00B059E0">
        <w:rPr>
          <w:szCs w:val="24"/>
          <w:lang w:val="es-EC"/>
        </w:rPr>
        <w:t xml:space="preserve"> Escala Perceptual de Lectura </w:t>
      </w:r>
      <w:r w:rsidR="00DE1D53" w:rsidRPr="00B059E0">
        <w:rPr>
          <w:szCs w:val="24"/>
          <w:lang w:val="es-EC"/>
        </w:rPr>
        <w:t xml:space="preserve">de </w:t>
      </w:r>
      <w:r w:rsidR="0061251C" w:rsidRPr="00B059E0">
        <w:rPr>
          <w:szCs w:val="24"/>
          <w:lang w:val="es-EC"/>
        </w:rPr>
        <w:t>Irlen,</w:t>
      </w:r>
      <w:r w:rsidRPr="00B059E0">
        <w:rPr>
          <w:szCs w:val="24"/>
          <w:lang w:val="es-EC"/>
        </w:rPr>
        <w:t xml:space="preserve"> IRPS</w:t>
      </w:r>
      <w:r w:rsidR="0061251C" w:rsidRPr="00B059E0">
        <w:rPr>
          <w:szCs w:val="24"/>
          <w:lang w:val="es-EC"/>
        </w:rPr>
        <w:t xml:space="preserve"> (por sus siglas en </w:t>
      </w:r>
      <w:r w:rsidR="00DE1D53" w:rsidRPr="00B059E0">
        <w:rPr>
          <w:szCs w:val="24"/>
          <w:lang w:val="es-EC"/>
        </w:rPr>
        <w:t>i</w:t>
      </w:r>
      <w:r w:rsidR="0061251C" w:rsidRPr="00B059E0">
        <w:rPr>
          <w:szCs w:val="24"/>
          <w:lang w:val="es-EC"/>
        </w:rPr>
        <w:t>nglés)</w:t>
      </w:r>
      <w:r w:rsidRPr="00B059E0">
        <w:rPr>
          <w:szCs w:val="24"/>
          <w:lang w:val="es-EC"/>
        </w:rPr>
        <w:t xml:space="preserve">, </w:t>
      </w:r>
      <w:r w:rsidR="00DE1D53" w:rsidRPr="00B059E0">
        <w:rPr>
          <w:szCs w:val="24"/>
          <w:lang w:val="es-EC"/>
        </w:rPr>
        <w:t xml:space="preserve">una muestra conveniente de 110 participantes (50% niños y 50% niñas) </w:t>
      </w:r>
      <w:r w:rsidRPr="00B059E0">
        <w:rPr>
          <w:szCs w:val="24"/>
          <w:lang w:val="es-EC"/>
        </w:rPr>
        <w:t xml:space="preserve">participó en el estudio; 55 con </w:t>
      </w:r>
      <w:r w:rsidR="0055624E" w:rsidRPr="00B059E0">
        <w:rPr>
          <w:szCs w:val="24"/>
          <w:lang w:val="es-EC"/>
        </w:rPr>
        <w:t>SI</w:t>
      </w:r>
      <w:r w:rsidRPr="00B059E0">
        <w:rPr>
          <w:szCs w:val="24"/>
          <w:lang w:val="es-EC"/>
        </w:rPr>
        <w:t xml:space="preserve"> formaron el </w:t>
      </w:r>
      <w:r w:rsidR="0055624E" w:rsidRPr="00B059E0">
        <w:rPr>
          <w:szCs w:val="24"/>
          <w:lang w:val="es-EC"/>
        </w:rPr>
        <w:t>GSI</w:t>
      </w:r>
      <w:r w:rsidRPr="00B059E0">
        <w:rPr>
          <w:szCs w:val="24"/>
          <w:lang w:val="es-EC"/>
        </w:rPr>
        <w:t xml:space="preserve"> (</w:t>
      </w:r>
      <w:r w:rsidRPr="00B059E0">
        <w:rPr>
          <w:i/>
          <w:iCs/>
          <w:szCs w:val="24"/>
          <w:lang w:val="es-EC"/>
        </w:rPr>
        <w:t xml:space="preserve">M </w:t>
      </w:r>
      <w:r w:rsidRPr="00B059E0">
        <w:rPr>
          <w:szCs w:val="24"/>
          <w:lang w:val="es-EC"/>
        </w:rPr>
        <w:t>= 8</w:t>
      </w:r>
      <w:r w:rsidR="008F3F07" w:rsidRPr="00B059E0">
        <w:rPr>
          <w:szCs w:val="24"/>
          <w:lang w:val="es-EC"/>
        </w:rPr>
        <w:t>.</w:t>
      </w:r>
      <w:r w:rsidRPr="00B059E0">
        <w:rPr>
          <w:szCs w:val="24"/>
          <w:lang w:val="es-EC"/>
        </w:rPr>
        <w:t>60 ± 0</w:t>
      </w:r>
      <w:r w:rsidR="008F3F07" w:rsidRPr="00B059E0">
        <w:rPr>
          <w:szCs w:val="24"/>
          <w:lang w:val="es-EC"/>
        </w:rPr>
        <w:t>.</w:t>
      </w:r>
      <w:r w:rsidRPr="00B059E0">
        <w:rPr>
          <w:szCs w:val="24"/>
          <w:lang w:val="es-EC"/>
        </w:rPr>
        <w:t>63 años) y 55 formaron el grupo control (</w:t>
      </w:r>
      <w:r w:rsidRPr="00B059E0">
        <w:rPr>
          <w:i/>
          <w:iCs/>
          <w:szCs w:val="24"/>
          <w:lang w:val="es-EC"/>
        </w:rPr>
        <w:t xml:space="preserve">M </w:t>
      </w:r>
      <w:r w:rsidRPr="00B059E0">
        <w:rPr>
          <w:szCs w:val="24"/>
          <w:lang w:val="es-EC"/>
        </w:rPr>
        <w:t>= 8</w:t>
      </w:r>
      <w:r w:rsidR="008F3F07" w:rsidRPr="00B059E0">
        <w:rPr>
          <w:szCs w:val="24"/>
          <w:lang w:val="es-EC"/>
        </w:rPr>
        <w:t>.</w:t>
      </w:r>
      <w:r w:rsidRPr="00B059E0">
        <w:rPr>
          <w:szCs w:val="24"/>
          <w:lang w:val="es-EC"/>
        </w:rPr>
        <w:t>62 ± 0</w:t>
      </w:r>
      <w:r w:rsidR="008F3F07" w:rsidRPr="00B059E0">
        <w:rPr>
          <w:szCs w:val="24"/>
          <w:lang w:val="es-EC"/>
        </w:rPr>
        <w:t>.</w:t>
      </w:r>
      <w:r w:rsidRPr="00B059E0">
        <w:rPr>
          <w:szCs w:val="24"/>
          <w:lang w:val="es-EC"/>
        </w:rPr>
        <w:t>56 años).</w:t>
      </w:r>
      <w:r w:rsidRPr="00B059E0">
        <w:rPr>
          <w:color w:val="4472C4" w:themeColor="accent1"/>
          <w:szCs w:val="24"/>
          <w:lang w:val="es-EC"/>
        </w:rPr>
        <w:t xml:space="preserve"> </w:t>
      </w:r>
      <w:r w:rsidRPr="00B059E0">
        <w:rPr>
          <w:szCs w:val="24"/>
          <w:lang w:val="es-EC"/>
        </w:rPr>
        <w:t xml:space="preserve">El objetivo de tener estos dos grupos fue </w:t>
      </w:r>
      <w:bookmarkStart w:id="6" w:name="_Int_SFbLTsi6"/>
      <w:r w:rsidRPr="00B059E0">
        <w:rPr>
          <w:szCs w:val="24"/>
          <w:lang w:val="es-EC"/>
        </w:rPr>
        <w:t xml:space="preserve">contar con </w:t>
      </w:r>
      <w:bookmarkEnd w:id="6"/>
      <w:r w:rsidRPr="00B059E0">
        <w:rPr>
          <w:szCs w:val="24"/>
          <w:lang w:val="es-EC"/>
        </w:rPr>
        <w:t xml:space="preserve">participantes de características similares </w:t>
      </w:r>
      <w:r w:rsidR="00400CC3" w:rsidRPr="00B059E0">
        <w:rPr>
          <w:szCs w:val="24"/>
          <w:lang w:val="es-EC"/>
        </w:rPr>
        <w:t>en</w:t>
      </w:r>
      <w:r w:rsidRPr="00B059E0">
        <w:rPr>
          <w:szCs w:val="24"/>
          <w:lang w:val="es-EC"/>
        </w:rPr>
        <w:t xml:space="preserve"> edad, grado escolar y nivel socioeconómico. Para la identificación y diferenciación de</w:t>
      </w:r>
      <w:r w:rsidR="00DE1D53" w:rsidRPr="00B059E0">
        <w:rPr>
          <w:szCs w:val="24"/>
          <w:lang w:val="es-EC"/>
        </w:rPr>
        <w:t>l</w:t>
      </w:r>
      <w:r w:rsidRPr="00B059E0">
        <w:rPr>
          <w:szCs w:val="24"/>
          <w:lang w:val="es-EC"/>
        </w:rPr>
        <w:t xml:space="preserve"> SI entre grupos se hizo discriminación </w:t>
      </w:r>
      <w:r w:rsidR="00DE1D53" w:rsidRPr="00B059E0">
        <w:rPr>
          <w:szCs w:val="24"/>
          <w:lang w:val="es-EC"/>
        </w:rPr>
        <w:t>en</w:t>
      </w:r>
      <w:r w:rsidRPr="00B059E0">
        <w:rPr>
          <w:szCs w:val="24"/>
          <w:lang w:val="es-EC"/>
        </w:rPr>
        <w:t xml:space="preserve"> base </w:t>
      </w:r>
      <w:r w:rsidR="00DE1D53" w:rsidRPr="00B059E0">
        <w:rPr>
          <w:szCs w:val="24"/>
          <w:lang w:val="es-EC"/>
        </w:rPr>
        <w:t>a</w:t>
      </w:r>
      <w:r w:rsidRPr="00B059E0">
        <w:rPr>
          <w:szCs w:val="24"/>
          <w:lang w:val="es-EC"/>
        </w:rPr>
        <w:t xml:space="preserve"> la puntuación general de</w:t>
      </w:r>
      <w:r w:rsidR="004F43AB" w:rsidRPr="00B059E0">
        <w:rPr>
          <w:szCs w:val="24"/>
          <w:lang w:val="es-EC"/>
        </w:rPr>
        <w:t xml:space="preserve"> </w:t>
      </w:r>
      <w:r w:rsidRPr="00B059E0">
        <w:rPr>
          <w:szCs w:val="24"/>
          <w:lang w:val="es-EC"/>
        </w:rPr>
        <w:t>l</w:t>
      </w:r>
      <w:r w:rsidR="004F43AB" w:rsidRPr="00B059E0">
        <w:rPr>
          <w:szCs w:val="24"/>
          <w:lang w:val="es-EC"/>
        </w:rPr>
        <w:t>a</w:t>
      </w:r>
      <w:r w:rsidRPr="00B059E0">
        <w:rPr>
          <w:szCs w:val="24"/>
          <w:lang w:val="es-EC"/>
        </w:rPr>
        <w:t xml:space="preserve"> IRPS sección 1 y </w:t>
      </w:r>
      <w:r w:rsidR="00DE1D53" w:rsidRPr="00B059E0">
        <w:rPr>
          <w:szCs w:val="24"/>
          <w:lang w:val="es-EC"/>
        </w:rPr>
        <w:t>los</w:t>
      </w:r>
      <w:r w:rsidRPr="00B059E0">
        <w:rPr>
          <w:szCs w:val="24"/>
          <w:lang w:val="es-EC"/>
        </w:rPr>
        <w:t xml:space="preserve"> criterio</w:t>
      </w:r>
      <w:r w:rsidR="00DE1D53" w:rsidRPr="00B059E0">
        <w:rPr>
          <w:szCs w:val="24"/>
          <w:lang w:val="es-EC"/>
        </w:rPr>
        <w:t>s</w:t>
      </w:r>
      <w:r w:rsidRPr="00B059E0">
        <w:rPr>
          <w:szCs w:val="24"/>
          <w:lang w:val="es-EC"/>
        </w:rPr>
        <w:t xml:space="preserve"> clínico</w:t>
      </w:r>
      <w:r w:rsidR="00DE1D53" w:rsidRPr="00B059E0">
        <w:rPr>
          <w:szCs w:val="24"/>
          <w:lang w:val="es-EC"/>
        </w:rPr>
        <w:t>s</w:t>
      </w:r>
      <w:r w:rsidRPr="00B059E0">
        <w:rPr>
          <w:szCs w:val="24"/>
          <w:lang w:val="es-EC"/>
        </w:rPr>
        <w:t xml:space="preserve"> de un profesional </w:t>
      </w:r>
      <w:r w:rsidR="00B35F28" w:rsidRPr="00B059E0">
        <w:rPr>
          <w:szCs w:val="24"/>
          <w:lang w:val="es-EC"/>
        </w:rPr>
        <w:t xml:space="preserve">Examinador Irlen </w:t>
      </w:r>
      <w:r w:rsidRPr="00B059E0">
        <w:rPr>
          <w:szCs w:val="24"/>
          <w:lang w:val="es-EC"/>
        </w:rPr>
        <w:t>certificado basado</w:t>
      </w:r>
      <w:r w:rsidR="00B35F28" w:rsidRPr="00B059E0">
        <w:rPr>
          <w:szCs w:val="24"/>
          <w:lang w:val="es-EC"/>
        </w:rPr>
        <w:t>s</w:t>
      </w:r>
      <w:r w:rsidRPr="00B059E0">
        <w:rPr>
          <w:szCs w:val="24"/>
          <w:lang w:val="es-EC"/>
        </w:rPr>
        <w:t xml:space="preserve"> en </w:t>
      </w:r>
      <w:r w:rsidR="004F43AB" w:rsidRPr="00B059E0">
        <w:rPr>
          <w:szCs w:val="24"/>
          <w:lang w:val="es-EC"/>
        </w:rPr>
        <w:t>la</w:t>
      </w:r>
      <w:r w:rsidRPr="00B059E0">
        <w:rPr>
          <w:szCs w:val="24"/>
          <w:lang w:val="es-EC"/>
        </w:rPr>
        <w:t xml:space="preserve"> IRPS sección 3. Se consideraron dos referencias para los criterios clínicos. En primer lugar, los casos que puntuaron por encima del punto de referencia de la curva </w:t>
      </w:r>
      <w:r w:rsidR="00DE1D53" w:rsidRPr="00B059E0">
        <w:rPr>
          <w:szCs w:val="24"/>
          <w:lang w:val="es-EC"/>
        </w:rPr>
        <w:t xml:space="preserve">Característica </w:t>
      </w:r>
      <w:r w:rsidR="00397418" w:rsidRPr="00B059E0">
        <w:rPr>
          <w:szCs w:val="24"/>
          <w:lang w:val="es-EC"/>
        </w:rPr>
        <w:t>O</w:t>
      </w:r>
      <w:r w:rsidR="00DE1D53" w:rsidRPr="00B059E0">
        <w:rPr>
          <w:szCs w:val="24"/>
          <w:lang w:val="es-EC"/>
        </w:rPr>
        <w:t xml:space="preserve">perativa del </w:t>
      </w:r>
      <w:r w:rsidR="00397418" w:rsidRPr="00B059E0">
        <w:rPr>
          <w:szCs w:val="24"/>
          <w:lang w:val="es-EC"/>
        </w:rPr>
        <w:t>R</w:t>
      </w:r>
      <w:r w:rsidR="00DE1D53" w:rsidRPr="00B059E0">
        <w:rPr>
          <w:szCs w:val="24"/>
          <w:lang w:val="es-EC"/>
        </w:rPr>
        <w:t xml:space="preserve">eceptor </w:t>
      </w:r>
      <w:r w:rsidRPr="00B059E0">
        <w:rPr>
          <w:szCs w:val="24"/>
          <w:lang w:val="es-EC"/>
        </w:rPr>
        <w:t>(curva ROC) coincidieron con la evaluación de síndrome de Irlen positivo (</w:t>
      </w:r>
      <w:r w:rsidR="0055624E" w:rsidRPr="00B059E0">
        <w:rPr>
          <w:szCs w:val="24"/>
          <w:lang w:val="es-EC"/>
        </w:rPr>
        <w:t>GSI</w:t>
      </w:r>
      <w:r w:rsidRPr="00B059E0">
        <w:rPr>
          <w:szCs w:val="24"/>
          <w:lang w:val="es-EC"/>
        </w:rPr>
        <w:t>). En segundo lugar, los participantes que puntuaron por debajo del punto de referencia de la curva ROC coincidieron con una evaluación del síndrome no Irlen (</w:t>
      </w:r>
      <w:r w:rsidR="00604834" w:rsidRPr="00B059E0">
        <w:rPr>
          <w:szCs w:val="24"/>
          <w:lang w:val="es-EC"/>
        </w:rPr>
        <w:t>GC</w:t>
      </w:r>
      <w:r w:rsidRPr="00B059E0">
        <w:rPr>
          <w:szCs w:val="24"/>
          <w:lang w:val="es-EC"/>
        </w:rPr>
        <w:t>). No consideramos los casos que no cumplían ambos criterios para este estudio para la curva ROC con 0</w:t>
      </w:r>
      <w:r w:rsidR="00397418" w:rsidRPr="00B059E0">
        <w:rPr>
          <w:szCs w:val="24"/>
          <w:lang w:val="es-EC"/>
        </w:rPr>
        <w:t>.</w:t>
      </w:r>
      <w:r w:rsidRPr="00B059E0">
        <w:rPr>
          <w:szCs w:val="24"/>
          <w:lang w:val="es-EC"/>
        </w:rPr>
        <w:t>571 grado de sensibilidad y 0</w:t>
      </w:r>
      <w:r w:rsidR="00397418" w:rsidRPr="00B059E0">
        <w:rPr>
          <w:szCs w:val="24"/>
          <w:lang w:val="es-EC"/>
        </w:rPr>
        <w:t>.</w:t>
      </w:r>
      <w:r w:rsidRPr="00B059E0">
        <w:rPr>
          <w:szCs w:val="24"/>
          <w:lang w:val="es-EC"/>
        </w:rPr>
        <w:t>379 de especificidad. Para la identificación positiva de SI, la puntuación mínima en el apartado 1 deb</w:t>
      </w:r>
      <w:r w:rsidR="009C2D50" w:rsidRPr="00B059E0">
        <w:rPr>
          <w:szCs w:val="24"/>
          <w:lang w:val="es-EC"/>
        </w:rPr>
        <w:t xml:space="preserve">ía </w:t>
      </w:r>
      <w:r w:rsidRPr="00B059E0">
        <w:rPr>
          <w:szCs w:val="24"/>
          <w:lang w:val="es-EC"/>
        </w:rPr>
        <w:t>ser de 63</w:t>
      </w:r>
      <w:r w:rsidR="00397418" w:rsidRPr="00B059E0">
        <w:rPr>
          <w:szCs w:val="24"/>
          <w:lang w:val="es-EC"/>
        </w:rPr>
        <w:t>.</w:t>
      </w:r>
      <w:r w:rsidRPr="00B059E0">
        <w:rPr>
          <w:szCs w:val="24"/>
          <w:lang w:val="es-EC"/>
        </w:rPr>
        <w:t>5</w:t>
      </w:r>
      <w:r w:rsidR="009636B4">
        <w:rPr>
          <w:szCs w:val="24"/>
          <w:lang w:val="es-EC"/>
        </w:rPr>
        <w:t>.</w:t>
      </w:r>
    </w:p>
    <w:p w14:paraId="0C1FA2E0" w14:textId="55C7971E" w:rsidR="00B63B61" w:rsidRDefault="001C1939" w:rsidP="00B059E0">
      <w:pPr>
        <w:spacing w:line="240" w:lineRule="auto"/>
        <w:ind w:firstLine="720"/>
        <w:jc w:val="both"/>
        <w:rPr>
          <w:szCs w:val="24"/>
          <w:lang w:val="es-EC"/>
        </w:rPr>
      </w:pPr>
      <w:r w:rsidRPr="00B059E0">
        <w:rPr>
          <w:szCs w:val="24"/>
          <w:lang w:val="es-EC"/>
        </w:rPr>
        <w:lastRenderedPageBreak/>
        <w:t xml:space="preserve">Todos los participantes eran de diferentes escuelas con un nivel socioeconómico medio o medio-bajo similar (INEC, 2011). Como criterios de exclusión no se consideraron </w:t>
      </w:r>
      <w:r w:rsidR="00397418" w:rsidRPr="00B059E0">
        <w:rPr>
          <w:szCs w:val="24"/>
          <w:lang w:val="es-EC"/>
        </w:rPr>
        <w:t xml:space="preserve">a </w:t>
      </w:r>
      <w:r w:rsidRPr="00B059E0">
        <w:rPr>
          <w:szCs w:val="24"/>
          <w:lang w:val="es-EC"/>
        </w:rPr>
        <w:t>los estudiantes que presentaran algún diagnóstico psicológico relacionado con una discapacidad intelectual o algún problema oftalmológico no resuelto.</w:t>
      </w:r>
      <w:bookmarkStart w:id="7" w:name="_Toc4620055"/>
    </w:p>
    <w:p w14:paraId="45B19510" w14:textId="77777777" w:rsidR="00BA5E38" w:rsidRPr="00B059E0" w:rsidRDefault="00BA5E38" w:rsidP="00B059E0">
      <w:pPr>
        <w:spacing w:line="240" w:lineRule="auto"/>
        <w:ind w:firstLine="720"/>
        <w:jc w:val="both"/>
        <w:rPr>
          <w:szCs w:val="24"/>
          <w:lang w:val="es-EC"/>
        </w:rPr>
      </w:pPr>
    </w:p>
    <w:p w14:paraId="4BAED8CF" w14:textId="40542F59" w:rsidR="004B3CCD" w:rsidRPr="00B059E0" w:rsidRDefault="00286384" w:rsidP="00B059E0">
      <w:pPr>
        <w:spacing w:line="240" w:lineRule="auto"/>
        <w:ind w:firstLine="0"/>
        <w:jc w:val="both"/>
        <w:rPr>
          <w:b/>
          <w:bCs/>
          <w:i/>
          <w:iCs/>
          <w:szCs w:val="24"/>
          <w:lang w:val="es-EC"/>
        </w:rPr>
      </w:pPr>
      <w:r w:rsidRPr="00B059E0">
        <w:rPr>
          <w:b/>
          <w:bCs/>
          <w:i/>
          <w:iCs/>
          <w:szCs w:val="24"/>
          <w:lang w:val="es-EC"/>
        </w:rPr>
        <w:t>Instrumentos</w:t>
      </w:r>
    </w:p>
    <w:p w14:paraId="0744A862" w14:textId="77777777" w:rsidR="006D6364" w:rsidRDefault="07AE4154" w:rsidP="00B059E0">
      <w:pPr>
        <w:spacing w:line="240" w:lineRule="auto"/>
        <w:jc w:val="both"/>
        <w:rPr>
          <w:szCs w:val="24"/>
          <w:lang w:val="es-EC"/>
        </w:rPr>
      </w:pPr>
      <w:r w:rsidRPr="00B059E0">
        <w:rPr>
          <w:i/>
          <w:iCs/>
          <w:szCs w:val="24"/>
          <w:lang w:val="es-EC"/>
        </w:rPr>
        <w:t xml:space="preserve">La Escala Perceptual de Lectura de Irlen </w:t>
      </w:r>
      <w:r w:rsidRPr="00B059E0">
        <w:rPr>
          <w:szCs w:val="24"/>
          <w:lang w:val="es-EC"/>
        </w:rPr>
        <w:t xml:space="preserve">(IRPS; Bernal et al., 2021), una versión adaptada de la IRPS original (Irlen, 1983) es un instrumento de aplicación individual que mide distorsiones y malestar perceptivo visual. </w:t>
      </w:r>
      <w:r w:rsidR="0061251C" w:rsidRPr="00B059E0">
        <w:rPr>
          <w:szCs w:val="24"/>
          <w:lang w:val="es-EC"/>
        </w:rPr>
        <w:t>Sirve</w:t>
      </w:r>
      <w:r w:rsidRPr="00B059E0">
        <w:rPr>
          <w:szCs w:val="24"/>
          <w:lang w:val="es-EC"/>
        </w:rPr>
        <w:t xml:space="preserve"> como prueba </w:t>
      </w:r>
      <w:r w:rsidR="00EE76C4" w:rsidRPr="00B059E0">
        <w:rPr>
          <w:szCs w:val="24"/>
          <w:lang w:val="es-EC"/>
        </w:rPr>
        <w:t>de cribaje</w:t>
      </w:r>
      <w:r w:rsidRPr="00B059E0">
        <w:rPr>
          <w:szCs w:val="24"/>
          <w:lang w:val="es-EC"/>
        </w:rPr>
        <w:t xml:space="preserve"> para detectar el síndrome de Irlen. Consta de tres fases de evaluación y cuatro apartados</w:t>
      </w:r>
      <w:r w:rsidR="00BA5E38">
        <w:rPr>
          <w:szCs w:val="24"/>
          <w:lang w:val="es-EC"/>
        </w:rPr>
        <w:t>.</w:t>
      </w:r>
      <w:r w:rsidRPr="00B059E0">
        <w:rPr>
          <w:szCs w:val="24"/>
          <w:lang w:val="es-EC"/>
        </w:rPr>
        <w:t xml:space="preserve"> </w:t>
      </w:r>
    </w:p>
    <w:p w14:paraId="434B3CED" w14:textId="77777777" w:rsidR="006D6364" w:rsidRPr="006D6364" w:rsidRDefault="07AE4154" w:rsidP="008230EB">
      <w:pPr>
        <w:pStyle w:val="Prrafodelista"/>
        <w:numPr>
          <w:ilvl w:val="0"/>
          <w:numId w:val="11"/>
        </w:numPr>
        <w:jc w:val="both"/>
        <w:rPr>
          <w:rFonts w:ascii="Times New Roman" w:hAnsi="Times New Roman" w:cs="Times New Roman"/>
          <w:lang w:val="es-EC"/>
        </w:rPr>
      </w:pPr>
      <w:r w:rsidRPr="006D6364">
        <w:rPr>
          <w:rFonts w:ascii="Times New Roman" w:hAnsi="Times New Roman" w:cs="Times New Roman"/>
          <w:lang w:val="es-EC"/>
        </w:rPr>
        <w:t xml:space="preserve">En la primera fase, el primer apartado consta de un cuestionario de 32 ítems en el que el participante indica a través de una escala tipo Likert (del 1 al 5) el nivel de frecuencia de los eventos relacionados con la visión y </w:t>
      </w:r>
      <w:r w:rsidR="00BA5E38" w:rsidRPr="006D6364">
        <w:rPr>
          <w:rFonts w:ascii="Times New Roman" w:hAnsi="Times New Roman" w:cs="Times New Roman"/>
          <w:lang w:val="es-EC"/>
        </w:rPr>
        <w:t>el</w:t>
      </w:r>
      <w:r w:rsidRPr="006D6364">
        <w:rPr>
          <w:rFonts w:ascii="Times New Roman" w:hAnsi="Times New Roman" w:cs="Times New Roman"/>
          <w:lang w:val="es-EC"/>
        </w:rPr>
        <w:t xml:space="preserve"> malestar físico. </w:t>
      </w:r>
      <w:r w:rsidR="00EE76C4" w:rsidRPr="006D6364">
        <w:rPr>
          <w:rFonts w:ascii="Times New Roman" w:hAnsi="Times New Roman" w:cs="Times New Roman"/>
          <w:lang w:val="es-EC"/>
        </w:rPr>
        <w:t>C</w:t>
      </w:r>
      <w:r w:rsidRPr="006D6364">
        <w:rPr>
          <w:rFonts w:ascii="Times New Roman" w:hAnsi="Times New Roman" w:cs="Times New Roman"/>
          <w:lang w:val="es-EC"/>
        </w:rPr>
        <w:t xml:space="preserve">onsta de dos dimensiones (distorsiones visuales y malestar físico). </w:t>
      </w:r>
    </w:p>
    <w:p w14:paraId="5013E0AB" w14:textId="77777777" w:rsidR="006D6364" w:rsidRPr="006D6364" w:rsidRDefault="07AE4154" w:rsidP="008230EB">
      <w:pPr>
        <w:pStyle w:val="Prrafodelista"/>
        <w:numPr>
          <w:ilvl w:val="0"/>
          <w:numId w:val="11"/>
        </w:numPr>
        <w:jc w:val="both"/>
        <w:rPr>
          <w:rFonts w:ascii="Times New Roman" w:hAnsi="Times New Roman" w:cs="Times New Roman"/>
          <w:lang w:val="es-EC"/>
        </w:rPr>
      </w:pPr>
      <w:r w:rsidRPr="006D6364">
        <w:rPr>
          <w:rFonts w:ascii="Times New Roman" w:hAnsi="Times New Roman" w:cs="Times New Roman"/>
          <w:lang w:val="es-EC"/>
        </w:rPr>
        <w:t xml:space="preserve">En la fase dos, la segunda sección tiene cinco tareas experimentales y de observación para analizar la capacidad perceptiva del participante. En esta sección, los investigadores presentan cuatro imágenes (Cubo A y B, y Calabaza A y B), una por una. El participante realiza las pruebas y luego comenta las sensaciones al mirar las imágenes. El niño cuenta el número de cuadrados en una fila vertical (para el Cubo A y el Cubo B) y el número de </w:t>
      </w:r>
      <w:r w:rsidR="007D75A9" w:rsidRPr="006D6364">
        <w:rPr>
          <w:rFonts w:ascii="Times New Roman" w:hAnsi="Times New Roman" w:cs="Times New Roman"/>
          <w:lang w:val="es-EC"/>
        </w:rPr>
        <w:t>“</w:t>
      </w:r>
      <w:r w:rsidRPr="006D6364">
        <w:rPr>
          <w:rFonts w:ascii="Times New Roman" w:hAnsi="Times New Roman" w:cs="Times New Roman"/>
          <w:lang w:val="es-EC"/>
        </w:rPr>
        <w:t>x</w:t>
      </w:r>
      <w:r w:rsidR="007D75A9" w:rsidRPr="006D6364">
        <w:rPr>
          <w:rFonts w:ascii="Times New Roman" w:hAnsi="Times New Roman" w:cs="Times New Roman"/>
          <w:lang w:val="es-EC"/>
        </w:rPr>
        <w:t>”</w:t>
      </w:r>
      <w:r w:rsidRPr="006D6364">
        <w:rPr>
          <w:rFonts w:ascii="Times New Roman" w:hAnsi="Times New Roman" w:cs="Times New Roman"/>
          <w:lang w:val="es-EC"/>
        </w:rPr>
        <w:t xml:space="preserve"> o </w:t>
      </w:r>
      <w:r w:rsidR="007D75A9" w:rsidRPr="006D6364">
        <w:rPr>
          <w:rFonts w:ascii="Times New Roman" w:hAnsi="Times New Roman" w:cs="Times New Roman"/>
          <w:lang w:val="es-EC"/>
        </w:rPr>
        <w:t>“</w:t>
      </w:r>
      <w:r w:rsidRPr="006D6364">
        <w:rPr>
          <w:rFonts w:ascii="Times New Roman" w:hAnsi="Times New Roman" w:cs="Times New Roman"/>
          <w:lang w:val="es-EC"/>
        </w:rPr>
        <w:t>%</w:t>
      </w:r>
      <w:r w:rsidR="007D75A9" w:rsidRPr="006D6364">
        <w:rPr>
          <w:rFonts w:ascii="Times New Roman" w:hAnsi="Times New Roman" w:cs="Times New Roman"/>
          <w:lang w:val="es-EC"/>
        </w:rPr>
        <w:t>”</w:t>
      </w:r>
      <w:r w:rsidRPr="006D6364">
        <w:rPr>
          <w:rFonts w:ascii="Times New Roman" w:hAnsi="Times New Roman" w:cs="Times New Roman"/>
          <w:lang w:val="es-EC"/>
        </w:rPr>
        <w:t xml:space="preserve"> entre dos cuadrados (en la calabaza)</w:t>
      </w:r>
      <w:r w:rsidR="00EE76C4" w:rsidRPr="006D6364">
        <w:rPr>
          <w:rFonts w:ascii="Times New Roman" w:hAnsi="Times New Roman" w:cs="Times New Roman"/>
          <w:lang w:val="es-EC"/>
        </w:rPr>
        <w:t>.</w:t>
      </w:r>
      <w:r w:rsidRPr="006D6364">
        <w:rPr>
          <w:rFonts w:ascii="Times New Roman" w:hAnsi="Times New Roman" w:cs="Times New Roman"/>
          <w:lang w:val="es-EC"/>
        </w:rPr>
        <w:t xml:space="preserve"> El examinador Irlen </w:t>
      </w:r>
      <w:r w:rsidR="008D30D0" w:rsidRPr="006D6364">
        <w:rPr>
          <w:rFonts w:ascii="Times New Roman" w:hAnsi="Times New Roman" w:cs="Times New Roman"/>
          <w:lang w:val="es-EC"/>
        </w:rPr>
        <w:t>supervisa</w:t>
      </w:r>
      <w:r w:rsidRPr="006D6364">
        <w:rPr>
          <w:rFonts w:ascii="Times New Roman" w:hAnsi="Times New Roman" w:cs="Times New Roman"/>
          <w:lang w:val="es-EC"/>
        </w:rPr>
        <w:t xml:space="preserve"> la tarea y pregunta a los niños sobre las distorsiones y molestias percibidas al realizar la tarea. Las puntuaciones altas marcan </w:t>
      </w:r>
      <w:r w:rsidR="008D30D0" w:rsidRPr="006D6364">
        <w:rPr>
          <w:rFonts w:ascii="Times New Roman" w:hAnsi="Times New Roman" w:cs="Times New Roman"/>
          <w:lang w:val="es-EC"/>
        </w:rPr>
        <w:t>una ejecución peor</w:t>
      </w:r>
      <w:r w:rsidRPr="006D6364">
        <w:rPr>
          <w:rFonts w:ascii="Times New Roman" w:hAnsi="Times New Roman" w:cs="Times New Roman"/>
          <w:lang w:val="es-EC"/>
        </w:rPr>
        <w:t xml:space="preserve"> y viceversa. </w:t>
      </w:r>
    </w:p>
    <w:p w14:paraId="46D2949A" w14:textId="386D3195" w:rsidR="00884F76" w:rsidRPr="006D6364" w:rsidRDefault="07AE4154" w:rsidP="008230EB">
      <w:pPr>
        <w:pStyle w:val="Prrafodelista"/>
        <w:numPr>
          <w:ilvl w:val="0"/>
          <w:numId w:val="11"/>
        </w:numPr>
        <w:jc w:val="both"/>
        <w:rPr>
          <w:rFonts w:ascii="Times New Roman" w:hAnsi="Times New Roman" w:cs="Times New Roman"/>
          <w:lang w:val="es-EC"/>
        </w:rPr>
      </w:pPr>
      <w:r w:rsidRPr="006D6364">
        <w:rPr>
          <w:rFonts w:ascii="Times New Roman" w:hAnsi="Times New Roman" w:cs="Times New Roman"/>
          <w:lang w:val="es-EC"/>
        </w:rPr>
        <w:t xml:space="preserve">La tercera fase corresponde a la evaluación del </w:t>
      </w:r>
      <w:r w:rsidR="008D30D0" w:rsidRPr="006D6364">
        <w:rPr>
          <w:rFonts w:ascii="Times New Roman" w:hAnsi="Times New Roman" w:cs="Times New Roman"/>
          <w:lang w:val="es-EC"/>
        </w:rPr>
        <w:t xml:space="preserve">examinador </w:t>
      </w:r>
      <w:r w:rsidRPr="006D6364">
        <w:rPr>
          <w:rFonts w:ascii="Times New Roman" w:hAnsi="Times New Roman" w:cs="Times New Roman"/>
          <w:lang w:val="es-EC"/>
        </w:rPr>
        <w:t xml:space="preserve">Irlen y analiza los resultados de las secciones 1 y 2 de </w:t>
      </w:r>
      <w:r w:rsidR="00EE76C4" w:rsidRPr="006D6364">
        <w:rPr>
          <w:rFonts w:ascii="Times New Roman" w:hAnsi="Times New Roman" w:cs="Times New Roman"/>
          <w:lang w:val="es-EC"/>
        </w:rPr>
        <w:t>la</w:t>
      </w:r>
      <w:r w:rsidR="008D30D0" w:rsidRPr="006D6364">
        <w:rPr>
          <w:rFonts w:ascii="Times New Roman" w:hAnsi="Times New Roman" w:cs="Times New Roman"/>
          <w:lang w:val="es-EC"/>
        </w:rPr>
        <w:t xml:space="preserve"> </w:t>
      </w:r>
      <w:r w:rsidRPr="006D6364">
        <w:rPr>
          <w:rFonts w:ascii="Times New Roman" w:hAnsi="Times New Roman" w:cs="Times New Roman"/>
          <w:lang w:val="es-EC"/>
        </w:rPr>
        <w:t xml:space="preserve">IRPS. Él/ella administra dos pruebas de lectura diferentes para observar el comportamiento de los niños mientras realizan las pruebas de lectura. Los niños con síndrome de Irlen suelen hacer pausas, saltarse líneas o párrafos enteros y refieren malestar, desgana y falta de atención, entre otras conductas al leer. Además, el </w:t>
      </w:r>
      <w:r w:rsidR="008D30D0" w:rsidRPr="006D6364">
        <w:rPr>
          <w:rFonts w:ascii="Times New Roman" w:hAnsi="Times New Roman" w:cs="Times New Roman"/>
          <w:lang w:val="es-EC"/>
        </w:rPr>
        <w:t xml:space="preserve">examinador </w:t>
      </w:r>
      <w:r w:rsidRPr="006D6364">
        <w:rPr>
          <w:rFonts w:ascii="Times New Roman" w:hAnsi="Times New Roman" w:cs="Times New Roman"/>
          <w:lang w:val="es-EC"/>
        </w:rPr>
        <w:t>Irlen también observó signos de fatiga, frotamiento de los ojos, frunci</w:t>
      </w:r>
      <w:r w:rsidR="007D75A9" w:rsidRPr="006D6364">
        <w:rPr>
          <w:rFonts w:ascii="Times New Roman" w:hAnsi="Times New Roman" w:cs="Times New Roman"/>
          <w:lang w:val="es-EC"/>
        </w:rPr>
        <w:t>miento</w:t>
      </w:r>
      <w:r w:rsidRPr="006D6364">
        <w:rPr>
          <w:rFonts w:ascii="Times New Roman" w:hAnsi="Times New Roman" w:cs="Times New Roman"/>
          <w:lang w:val="es-EC"/>
        </w:rPr>
        <w:t xml:space="preserve"> </w:t>
      </w:r>
      <w:r w:rsidR="007D75A9" w:rsidRPr="006D6364">
        <w:rPr>
          <w:rFonts w:ascii="Times New Roman" w:hAnsi="Times New Roman" w:cs="Times New Roman"/>
          <w:lang w:val="es-EC"/>
        </w:rPr>
        <w:t xml:space="preserve">de </w:t>
      </w:r>
      <w:r w:rsidRPr="006D6364">
        <w:rPr>
          <w:rFonts w:ascii="Times New Roman" w:hAnsi="Times New Roman" w:cs="Times New Roman"/>
          <w:lang w:val="es-EC"/>
        </w:rPr>
        <w:t xml:space="preserve">ceño y malestar general durante la lectura (Al-Zoubi, 2021; Guimarães, et al., 2023; Hollis, </w:t>
      </w:r>
      <w:r w:rsidR="0015600D" w:rsidRPr="006D6364">
        <w:rPr>
          <w:rFonts w:ascii="Times New Roman" w:hAnsi="Times New Roman" w:cs="Times New Roman"/>
          <w:lang w:val="es-EC"/>
        </w:rPr>
        <w:t>y</w:t>
      </w:r>
      <w:r w:rsidRPr="006D6364">
        <w:rPr>
          <w:rFonts w:ascii="Times New Roman" w:hAnsi="Times New Roman" w:cs="Times New Roman"/>
          <w:lang w:val="es-EC"/>
        </w:rPr>
        <w:t xml:space="preserve"> Allen, 2006; Kriss, </w:t>
      </w:r>
      <w:r w:rsidR="0015600D" w:rsidRPr="006D6364">
        <w:rPr>
          <w:rFonts w:ascii="Times New Roman" w:hAnsi="Times New Roman" w:cs="Times New Roman"/>
          <w:lang w:val="es-EC"/>
        </w:rPr>
        <w:t>y</w:t>
      </w:r>
      <w:r w:rsidRPr="006D6364">
        <w:rPr>
          <w:rFonts w:ascii="Times New Roman" w:hAnsi="Times New Roman" w:cs="Times New Roman"/>
          <w:lang w:val="es-EC"/>
        </w:rPr>
        <w:t xml:space="preserve"> Evans, 2005). Con base en las observaciones de los comportamientos de los niños durante las tareas de lectura, el </w:t>
      </w:r>
      <w:r w:rsidR="008D30D0" w:rsidRPr="006D6364">
        <w:rPr>
          <w:rFonts w:ascii="Times New Roman" w:hAnsi="Times New Roman" w:cs="Times New Roman"/>
          <w:lang w:val="es-EC"/>
        </w:rPr>
        <w:t xml:space="preserve">examinador </w:t>
      </w:r>
      <w:r w:rsidRPr="006D6364">
        <w:rPr>
          <w:rFonts w:ascii="Times New Roman" w:hAnsi="Times New Roman" w:cs="Times New Roman"/>
          <w:lang w:val="es-EC"/>
        </w:rPr>
        <w:t xml:space="preserve">Irlen determinó si presentaban o no sintomatología del </w:t>
      </w:r>
      <w:r w:rsidR="007D75A9" w:rsidRPr="006D6364">
        <w:rPr>
          <w:rFonts w:ascii="Times New Roman" w:hAnsi="Times New Roman" w:cs="Times New Roman"/>
          <w:lang w:val="es-EC"/>
        </w:rPr>
        <w:t>s</w:t>
      </w:r>
      <w:r w:rsidRPr="006D6364">
        <w:rPr>
          <w:rFonts w:ascii="Times New Roman" w:hAnsi="Times New Roman" w:cs="Times New Roman"/>
          <w:lang w:val="es-EC"/>
        </w:rPr>
        <w:t>índrome de Irlen y recomendó acetatos de colores.</w:t>
      </w:r>
    </w:p>
    <w:p w14:paraId="70613951" w14:textId="77777777" w:rsidR="006D6364" w:rsidRDefault="006D6364" w:rsidP="00B059E0">
      <w:pPr>
        <w:spacing w:line="240" w:lineRule="auto"/>
        <w:ind w:firstLine="720"/>
        <w:jc w:val="both"/>
        <w:rPr>
          <w:i/>
          <w:iCs/>
          <w:szCs w:val="24"/>
          <w:lang w:val="es-EC"/>
        </w:rPr>
      </w:pPr>
      <w:bookmarkStart w:id="8" w:name="_Toc4620057"/>
      <w:bookmarkEnd w:id="7"/>
    </w:p>
    <w:p w14:paraId="7B4C8D97" w14:textId="2FFBF7E1" w:rsidR="00BA5E38" w:rsidRDefault="00A06A94" w:rsidP="00B059E0">
      <w:pPr>
        <w:spacing w:line="240" w:lineRule="auto"/>
        <w:ind w:firstLine="720"/>
        <w:jc w:val="both"/>
        <w:rPr>
          <w:szCs w:val="24"/>
          <w:lang w:val="es-EC"/>
        </w:rPr>
      </w:pPr>
      <w:r w:rsidRPr="00B059E0">
        <w:rPr>
          <w:i/>
          <w:iCs/>
          <w:szCs w:val="24"/>
          <w:lang w:val="es-EC"/>
        </w:rPr>
        <w:t>La prueba</w:t>
      </w:r>
      <w:r w:rsidR="4379D923" w:rsidRPr="00B059E0">
        <w:rPr>
          <w:i/>
          <w:iCs/>
          <w:szCs w:val="24"/>
          <w:lang w:val="es-EC"/>
        </w:rPr>
        <w:t xml:space="preserve"> PROLEC-R </w:t>
      </w:r>
      <w:r w:rsidR="4379D923" w:rsidRPr="00B059E0">
        <w:rPr>
          <w:szCs w:val="24"/>
          <w:lang w:val="es-EC"/>
        </w:rPr>
        <w:t>(Cuetos et al., 2009) evalúa la</w:t>
      </w:r>
      <w:r w:rsidR="00BE22E8" w:rsidRPr="00B059E0">
        <w:rPr>
          <w:szCs w:val="24"/>
          <w:lang w:val="es-EC"/>
        </w:rPr>
        <w:t xml:space="preserve">s habilidades </w:t>
      </w:r>
      <w:r w:rsidR="4379D923" w:rsidRPr="00B059E0">
        <w:rPr>
          <w:szCs w:val="24"/>
          <w:lang w:val="es-EC"/>
        </w:rPr>
        <w:t>lectora</w:t>
      </w:r>
      <w:r w:rsidR="00BE22E8" w:rsidRPr="00B059E0">
        <w:rPr>
          <w:szCs w:val="24"/>
          <w:lang w:val="es-EC"/>
        </w:rPr>
        <w:t>s</w:t>
      </w:r>
      <w:r w:rsidR="4379D923" w:rsidRPr="00B059E0">
        <w:rPr>
          <w:szCs w:val="24"/>
          <w:lang w:val="es-EC"/>
        </w:rPr>
        <w:t xml:space="preserve"> en la etapa de Primaria y consta de </w:t>
      </w:r>
      <w:r w:rsidR="4379D923" w:rsidRPr="00B059E0">
        <w:rPr>
          <w:rFonts w:eastAsia="Times New Roman"/>
          <w:szCs w:val="24"/>
          <w:lang w:val="es-EC"/>
        </w:rPr>
        <w:t>procesos de Identificación de Letras, Léxic</w:t>
      </w:r>
      <w:r w:rsidR="00BE22E8" w:rsidRPr="00B059E0">
        <w:rPr>
          <w:rFonts w:eastAsia="Times New Roman"/>
          <w:szCs w:val="24"/>
          <w:lang w:val="es-EC"/>
        </w:rPr>
        <w:t>os</w:t>
      </w:r>
      <w:r w:rsidR="4379D923" w:rsidRPr="00B059E0">
        <w:rPr>
          <w:rFonts w:eastAsia="Times New Roman"/>
          <w:szCs w:val="24"/>
          <w:lang w:val="es-EC"/>
        </w:rPr>
        <w:t>, Gram</w:t>
      </w:r>
      <w:r w:rsidR="00BE22E8" w:rsidRPr="00B059E0">
        <w:rPr>
          <w:rFonts w:eastAsia="Times New Roman"/>
          <w:szCs w:val="24"/>
          <w:lang w:val="es-EC"/>
        </w:rPr>
        <w:t>aticales</w:t>
      </w:r>
      <w:r w:rsidR="4379D923" w:rsidRPr="00B059E0">
        <w:rPr>
          <w:rFonts w:eastAsia="Times New Roman"/>
          <w:szCs w:val="24"/>
          <w:lang w:val="es-EC"/>
        </w:rPr>
        <w:t xml:space="preserve"> y Semántico</w:t>
      </w:r>
      <w:r w:rsidR="00BE22E8" w:rsidRPr="00B059E0">
        <w:rPr>
          <w:rFonts w:eastAsia="Times New Roman"/>
          <w:szCs w:val="24"/>
          <w:lang w:val="es-EC"/>
        </w:rPr>
        <w:t>s</w:t>
      </w:r>
      <w:r w:rsidR="4379D923" w:rsidRPr="00B059E0">
        <w:rPr>
          <w:rFonts w:eastAsia="Times New Roman"/>
          <w:szCs w:val="24"/>
          <w:lang w:val="es-EC"/>
        </w:rPr>
        <w:t xml:space="preserve"> </w:t>
      </w:r>
      <w:r w:rsidR="4379D923" w:rsidRPr="00B059E0">
        <w:rPr>
          <w:szCs w:val="24"/>
          <w:lang w:val="es-EC"/>
        </w:rPr>
        <w:t xml:space="preserve">distribuidos en nueve tareas e índices. Para este estudio se recogieron las puntuaciones obtenidas de los principales índices de cada tarea. </w:t>
      </w:r>
    </w:p>
    <w:p w14:paraId="1DBC886E" w14:textId="77777777" w:rsidR="00BA5E38" w:rsidRPr="006D6364" w:rsidRDefault="4379D923" w:rsidP="00BA5E38">
      <w:pPr>
        <w:pStyle w:val="Prrafodelista"/>
        <w:numPr>
          <w:ilvl w:val="0"/>
          <w:numId w:val="7"/>
        </w:numPr>
        <w:ind w:left="851"/>
        <w:jc w:val="both"/>
        <w:rPr>
          <w:rFonts w:ascii="Times New Roman" w:hAnsi="Times New Roman" w:cs="Times New Roman"/>
          <w:lang w:val="es-EC"/>
        </w:rPr>
      </w:pPr>
      <w:r w:rsidRPr="006D6364">
        <w:rPr>
          <w:rFonts w:ascii="Times New Roman" w:hAnsi="Times New Roman" w:cs="Times New Roman"/>
          <w:lang w:val="es-EC"/>
        </w:rPr>
        <w:t xml:space="preserve">Identificación de Letras: </w:t>
      </w:r>
    </w:p>
    <w:p w14:paraId="7A416160" w14:textId="77777777" w:rsidR="00BA5E38" w:rsidRPr="008230EB" w:rsidRDefault="4379D923" w:rsidP="008230EB">
      <w:pPr>
        <w:pStyle w:val="Prrafodelista"/>
        <w:numPr>
          <w:ilvl w:val="1"/>
          <w:numId w:val="13"/>
        </w:numPr>
        <w:jc w:val="both"/>
        <w:rPr>
          <w:rFonts w:ascii="Times New Roman" w:hAnsi="Times New Roman" w:cs="Times New Roman"/>
          <w:lang w:val="es-EC"/>
        </w:rPr>
      </w:pPr>
      <w:r w:rsidRPr="008230EB">
        <w:rPr>
          <w:rFonts w:ascii="Times New Roman" w:hAnsi="Times New Roman" w:cs="Times New Roman"/>
          <w:lang w:val="es-EC"/>
        </w:rPr>
        <w:t xml:space="preserve">Nombre de Letras (NL), en el que el niño debe mencionar el nombre o el sonido de 20 letras y </w:t>
      </w:r>
      <w:r w:rsidR="00BE22E8" w:rsidRPr="008230EB">
        <w:rPr>
          <w:rFonts w:ascii="Times New Roman" w:hAnsi="Times New Roman" w:cs="Times New Roman"/>
          <w:lang w:val="es-EC"/>
        </w:rPr>
        <w:t>se registra el tiempo</w:t>
      </w:r>
      <w:r w:rsidRPr="008230EB">
        <w:rPr>
          <w:rFonts w:ascii="Times New Roman" w:hAnsi="Times New Roman" w:cs="Times New Roman"/>
          <w:lang w:val="es-EC"/>
        </w:rPr>
        <w:t xml:space="preserve">; </w:t>
      </w:r>
    </w:p>
    <w:p w14:paraId="4728A279" w14:textId="06FCA011" w:rsidR="00BA5E38" w:rsidRPr="008230EB" w:rsidRDefault="4379D923" w:rsidP="008230EB">
      <w:pPr>
        <w:pStyle w:val="Prrafodelista"/>
        <w:numPr>
          <w:ilvl w:val="1"/>
          <w:numId w:val="13"/>
        </w:numPr>
        <w:jc w:val="both"/>
        <w:rPr>
          <w:rFonts w:ascii="Times New Roman" w:hAnsi="Times New Roman" w:cs="Times New Roman"/>
          <w:lang w:val="es-EC"/>
        </w:rPr>
      </w:pPr>
      <w:r w:rsidRPr="008230EB">
        <w:rPr>
          <w:rFonts w:ascii="Times New Roman" w:hAnsi="Times New Roman" w:cs="Times New Roman"/>
          <w:lang w:val="es-EC"/>
        </w:rPr>
        <w:t>Igual - Diferente (</w:t>
      </w:r>
      <w:r w:rsidR="00152F93" w:rsidRPr="008230EB">
        <w:rPr>
          <w:rFonts w:ascii="Times New Roman" w:hAnsi="Times New Roman" w:cs="Times New Roman"/>
          <w:lang w:val="es-EC"/>
        </w:rPr>
        <w:t>ID</w:t>
      </w:r>
      <w:r w:rsidRPr="008230EB">
        <w:rPr>
          <w:rFonts w:ascii="Times New Roman" w:hAnsi="Times New Roman" w:cs="Times New Roman"/>
          <w:lang w:val="es-EC"/>
        </w:rPr>
        <w:t>) donde el niño debe identificar si 20 pares de palabras, unas reales y otras inventadas, son iguales o diferentes y también se registra el tiempo</w:t>
      </w:r>
      <w:r w:rsidR="008230EB">
        <w:rPr>
          <w:rFonts w:ascii="Times New Roman" w:hAnsi="Times New Roman" w:cs="Times New Roman"/>
          <w:lang w:val="es-EC"/>
        </w:rPr>
        <w:t>.</w:t>
      </w:r>
      <w:r w:rsidRPr="008230EB">
        <w:rPr>
          <w:rFonts w:ascii="Times New Roman" w:hAnsi="Times New Roman" w:cs="Times New Roman"/>
          <w:lang w:val="es-EC"/>
        </w:rPr>
        <w:t xml:space="preserve"> </w:t>
      </w:r>
    </w:p>
    <w:p w14:paraId="4DC7C6E8" w14:textId="18E03A27" w:rsidR="00BA5E38" w:rsidRPr="006D6364" w:rsidRDefault="4379D923" w:rsidP="00BA5E38">
      <w:pPr>
        <w:pStyle w:val="Prrafodelista"/>
        <w:numPr>
          <w:ilvl w:val="0"/>
          <w:numId w:val="7"/>
        </w:numPr>
        <w:ind w:left="851"/>
        <w:jc w:val="both"/>
        <w:rPr>
          <w:rFonts w:ascii="Times New Roman" w:hAnsi="Times New Roman" w:cs="Times New Roman"/>
          <w:lang w:val="es-EC"/>
        </w:rPr>
      </w:pPr>
      <w:r w:rsidRPr="006D6364">
        <w:rPr>
          <w:rFonts w:ascii="Times New Roman" w:hAnsi="Times New Roman" w:cs="Times New Roman"/>
          <w:lang w:val="es-EC"/>
        </w:rPr>
        <w:t>Proceso</w:t>
      </w:r>
      <w:r w:rsidR="00BE22E8" w:rsidRPr="006D6364">
        <w:rPr>
          <w:rFonts w:ascii="Times New Roman" w:hAnsi="Times New Roman" w:cs="Times New Roman"/>
          <w:lang w:val="es-EC"/>
        </w:rPr>
        <w:t>s</w:t>
      </w:r>
      <w:r w:rsidRPr="006D6364">
        <w:rPr>
          <w:rFonts w:ascii="Times New Roman" w:hAnsi="Times New Roman" w:cs="Times New Roman"/>
          <w:lang w:val="es-EC"/>
        </w:rPr>
        <w:t xml:space="preserve"> Léxico</w:t>
      </w:r>
      <w:r w:rsidR="00BE22E8" w:rsidRPr="006D6364">
        <w:rPr>
          <w:rFonts w:ascii="Times New Roman" w:hAnsi="Times New Roman" w:cs="Times New Roman"/>
          <w:lang w:val="es-EC"/>
        </w:rPr>
        <w:t>s</w:t>
      </w:r>
      <w:r w:rsidRPr="006D6364">
        <w:rPr>
          <w:rFonts w:ascii="Times New Roman" w:hAnsi="Times New Roman" w:cs="Times New Roman"/>
          <w:lang w:val="es-EC"/>
        </w:rPr>
        <w:t>: Lectura de Palabras (</w:t>
      </w:r>
      <w:r w:rsidR="00AF2CAF" w:rsidRPr="006D6364">
        <w:rPr>
          <w:rFonts w:ascii="Times New Roman" w:hAnsi="Times New Roman" w:cs="Times New Roman"/>
          <w:lang w:val="es-EC"/>
        </w:rPr>
        <w:t>LP</w:t>
      </w:r>
      <w:r w:rsidRPr="006D6364">
        <w:rPr>
          <w:rFonts w:ascii="Times New Roman" w:hAnsi="Times New Roman" w:cs="Times New Roman"/>
          <w:lang w:val="es-EC"/>
        </w:rPr>
        <w:t>, palabras reales) y Lectura de Pseudopalabras (</w:t>
      </w:r>
      <w:r w:rsidR="00AF2CAF" w:rsidRPr="006D6364">
        <w:rPr>
          <w:rFonts w:ascii="Times New Roman" w:hAnsi="Times New Roman" w:cs="Times New Roman"/>
          <w:lang w:val="es-EC"/>
        </w:rPr>
        <w:t>LS</w:t>
      </w:r>
      <w:r w:rsidRPr="006D6364">
        <w:rPr>
          <w:rFonts w:ascii="Times New Roman" w:hAnsi="Times New Roman" w:cs="Times New Roman"/>
          <w:lang w:val="es-EC"/>
        </w:rPr>
        <w:t xml:space="preserve">, palabras inventadas), </w:t>
      </w:r>
      <w:r w:rsidR="00F84C3F" w:rsidRPr="006D6364">
        <w:rPr>
          <w:rFonts w:ascii="Times New Roman" w:hAnsi="Times New Roman" w:cs="Times New Roman"/>
          <w:lang w:val="es-EC"/>
        </w:rPr>
        <w:t xml:space="preserve">donde </w:t>
      </w:r>
      <w:r w:rsidR="00BE22E8" w:rsidRPr="006D6364">
        <w:rPr>
          <w:rFonts w:ascii="Times New Roman" w:hAnsi="Times New Roman" w:cs="Times New Roman"/>
          <w:lang w:val="es-EC"/>
        </w:rPr>
        <w:t>se lee</w:t>
      </w:r>
      <w:r w:rsidRPr="006D6364">
        <w:rPr>
          <w:rFonts w:ascii="Times New Roman" w:hAnsi="Times New Roman" w:cs="Times New Roman"/>
          <w:lang w:val="es-EC"/>
        </w:rPr>
        <w:t xml:space="preserve"> una serie de 20 ítems por tarea en la que se calcula el tiempo y el número de aciertos</w:t>
      </w:r>
      <w:r w:rsidR="008230EB">
        <w:rPr>
          <w:rFonts w:ascii="Times New Roman" w:hAnsi="Times New Roman" w:cs="Times New Roman"/>
          <w:lang w:val="es-EC"/>
        </w:rPr>
        <w:t>.</w:t>
      </w:r>
    </w:p>
    <w:p w14:paraId="7379B694" w14:textId="77777777" w:rsidR="00BA5E38" w:rsidRPr="006D6364" w:rsidRDefault="4379D923" w:rsidP="00BA5E38">
      <w:pPr>
        <w:pStyle w:val="Prrafodelista"/>
        <w:numPr>
          <w:ilvl w:val="0"/>
          <w:numId w:val="7"/>
        </w:numPr>
        <w:ind w:left="851"/>
        <w:jc w:val="both"/>
        <w:rPr>
          <w:rFonts w:ascii="Times New Roman" w:hAnsi="Times New Roman" w:cs="Times New Roman"/>
          <w:lang w:val="es-EC"/>
        </w:rPr>
      </w:pPr>
      <w:r w:rsidRPr="006D6364">
        <w:rPr>
          <w:rFonts w:ascii="Times New Roman" w:hAnsi="Times New Roman" w:cs="Times New Roman"/>
          <w:lang w:val="es-EC"/>
        </w:rPr>
        <w:t>Procesos gramaticales:</w:t>
      </w:r>
    </w:p>
    <w:p w14:paraId="3281B0D2" w14:textId="77777777" w:rsidR="00BA5E38" w:rsidRPr="006D6364" w:rsidRDefault="00392BEB" w:rsidP="008230EB">
      <w:pPr>
        <w:pStyle w:val="Prrafodelista"/>
        <w:numPr>
          <w:ilvl w:val="1"/>
          <w:numId w:val="14"/>
        </w:numPr>
        <w:jc w:val="both"/>
        <w:rPr>
          <w:rFonts w:ascii="Times New Roman" w:hAnsi="Times New Roman" w:cs="Times New Roman"/>
          <w:lang w:val="es-EC"/>
        </w:rPr>
      </w:pPr>
      <w:r w:rsidRPr="006D6364">
        <w:rPr>
          <w:rFonts w:ascii="Times New Roman" w:hAnsi="Times New Roman" w:cs="Times New Roman"/>
          <w:lang w:val="es-EC"/>
        </w:rPr>
        <w:lastRenderedPageBreak/>
        <w:t>E</w:t>
      </w:r>
      <w:r w:rsidR="4379D923" w:rsidRPr="006D6364">
        <w:rPr>
          <w:rFonts w:ascii="Times New Roman" w:hAnsi="Times New Roman" w:cs="Times New Roman"/>
          <w:lang w:val="es-EC"/>
        </w:rPr>
        <w:t>structuras gramaticales (</w:t>
      </w:r>
      <w:r w:rsidR="00AF2CAF" w:rsidRPr="006D6364">
        <w:rPr>
          <w:rFonts w:ascii="Times New Roman" w:hAnsi="Times New Roman" w:cs="Times New Roman"/>
          <w:lang w:val="es-EC"/>
        </w:rPr>
        <w:t>EG</w:t>
      </w:r>
      <w:r w:rsidR="4379D923" w:rsidRPr="006D6364">
        <w:rPr>
          <w:rFonts w:ascii="Times New Roman" w:hAnsi="Times New Roman" w:cs="Times New Roman"/>
          <w:lang w:val="es-EC"/>
        </w:rPr>
        <w:t>) que emparejan una oración/instrucción con una imagen de cuatro presentada</w:t>
      </w:r>
      <w:r w:rsidRPr="006D6364">
        <w:rPr>
          <w:rFonts w:ascii="Times New Roman" w:hAnsi="Times New Roman" w:cs="Times New Roman"/>
          <w:lang w:val="es-EC"/>
        </w:rPr>
        <w:t>s</w:t>
      </w:r>
      <w:r w:rsidR="4379D923" w:rsidRPr="006D6364">
        <w:rPr>
          <w:rFonts w:ascii="Times New Roman" w:hAnsi="Times New Roman" w:cs="Times New Roman"/>
          <w:lang w:val="es-EC"/>
        </w:rPr>
        <w:t xml:space="preserve"> (de 16 posibles); </w:t>
      </w:r>
    </w:p>
    <w:p w14:paraId="45515B34" w14:textId="00222B0E" w:rsidR="00BA5E38" w:rsidRPr="006D6364" w:rsidRDefault="4379D923" w:rsidP="008230EB">
      <w:pPr>
        <w:pStyle w:val="Prrafodelista"/>
        <w:numPr>
          <w:ilvl w:val="1"/>
          <w:numId w:val="14"/>
        </w:numPr>
        <w:jc w:val="both"/>
        <w:rPr>
          <w:rFonts w:ascii="Times New Roman" w:hAnsi="Times New Roman" w:cs="Times New Roman"/>
          <w:lang w:val="es-EC"/>
        </w:rPr>
      </w:pPr>
      <w:r w:rsidRPr="006D6364">
        <w:rPr>
          <w:rFonts w:ascii="Times New Roman" w:hAnsi="Times New Roman" w:cs="Times New Roman"/>
          <w:lang w:val="es-EC"/>
        </w:rPr>
        <w:t>Signos de puntuación (</w:t>
      </w:r>
      <w:r w:rsidR="00AF2CAF" w:rsidRPr="006D6364">
        <w:rPr>
          <w:rFonts w:ascii="Times New Roman" w:hAnsi="Times New Roman" w:cs="Times New Roman"/>
          <w:lang w:val="es-EC"/>
        </w:rPr>
        <w:t>SP</w:t>
      </w:r>
      <w:r w:rsidRPr="006D6364">
        <w:rPr>
          <w:rFonts w:ascii="Times New Roman" w:hAnsi="Times New Roman" w:cs="Times New Roman"/>
          <w:lang w:val="es-EC"/>
        </w:rPr>
        <w:t xml:space="preserve">), </w:t>
      </w:r>
      <w:r w:rsidR="00F84C3F" w:rsidRPr="006D6364">
        <w:rPr>
          <w:rFonts w:ascii="Times New Roman" w:hAnsi="Times New Roman" w:cs="Times New Roman"/>
          <w:lang w:val="es-EC"/>
        </w:rPr>
        <w:t xml:space="preserve">en el que </w:t>
      </w:r>
      <w:r w:rsidR="00392BEB" w:rsidRPr="006D6364">
        <w:rPr>
          <w:rFonts w:ascii="Times New Roman" w:hAnsi="Times New Roman" w:cs="Times New Roman"/>
          <w:lang w:val="es-EC"/>
        </w:rPr>
        <w:t xml:space="preserve">se comprueba </w:t>
      </w:r>
      <w:r w:rsidRPr="006D6364">
        <w:rPr>
          <w:rFonts w:ascii="Times New Roman" w:hAnsi="Times New Roman" w:cs="Times New Roman"/>
          <w:lang w:val="es-EC"/>
        </w:rPr>
        <w:t>el conocimiento y uso de los signos de puntuación mediante la lectura de un texto en el que se plantean las respuestas correctas (de las 11 disponibles)</w:t>
      </w:r>
      <w:r w:rsidR="008230EB">
        <w:rPr>
          <w:rFonts w:ascii="Times New Roman" w:hAnsi="Times New Roman" w:cs="Times New Roman"/>
          <w:lang w:val="es-EC"/>
        </w:rPr>
        <w:t>.</w:t>
      </w:r>
    </w:p>
    <w:p w14:paraId="10315C3C" w14:textId="58C30178" w:rsidR="00BA5E38" w:rsidRPr="008230EB" w:rsidRDefault="4379D923" w:rsidP="008230EB">
      <w:pPr>
        <w:pStyle w:val="Prrafodelista"/>
        <w:numPr>
          <w:ilvl w:val="0"/>
          <w:numId w:val="7"/>
        </w:numPr>
        <w:ind w:left="851" w:hanging="284"/>
        <w:jc w:val="both"/>
        <w:rPr>
          <w:rFonts w:ascii="Times New Roman" w:hAnsi="Times New Roman" w:cs="Times New Roman"/>
          <w:lang w:val="es-EC"/>
        </w:rPr>
      </w:pPr>
      <w:r w:rsidRPr="008230EB">
        <w:rPr>
          <w:rFonts w:ascii="Times New Roman" w:hAnsi="Times New Roman" w:cs="Times New Roman"/>
          <w:lang w:val="es-EC"/>
        </w:rPr>
        <w:t xml:space="preserve">Procesos Semánticos: </w:t>
      </w:r>
    </w:p>
    <w:p w14:paraId="747CAD2F" w14:textId="77777777" w:rsidR="00BA5E38" w:rsidRPr="006D6364" w:rsidRDefault="4379D923" w:rsidP="000B59A2">
      <w:pPr>
        <w:pStyle w:val="Prrafodelista"/>
        <w:numPr>
          <w:ilvl w:val="2"/>
          <w:numId w:val="15"/>
        </w:numPr>
        <w:jc w:val="both"/>
        <w:rPr>
          <w:rFonts w:ascii="Times New Roman" w:hAnsi="Times New Roman" w:cs="Times New Roman"/>
          <w:lang w:val="es-EC"/>
        </w:rPr>
      </w:pPr>
      <w:r w:rsidRPr="006D6364">
        <w:rPr>
          <w:rFonts w:ascii="Times New Roman" w:hAnsi="Times New Roman" w:cs="Times New Roman"/>
          <w:lang w:val="es-EC"/>
        </w:rPr>
        <w:t>Comprensión de Oraciones (</w:t>
      </w:r>
      <w:r w:rsidR="00AF2CAF" w:rsidRPr="006D6364">
        <w:rPr>
          <w:rFonts w:ascii="Times New Roman" w:hAnsi="Times New Roman" w:cs="Times New Roman"/>
          <w:lang w:val="es-EC"/>
        </w:rPr>
        <w:t>CO</w:t>
      </w:r>
      <w:r w:rsidRPr="006D6364">
        <w:rPr>
          <w:rFonts w:ascii="Times New Roman" w:hAnsi="Times New Roman" w:cs="Times New Roman"/>
          <w:lang w:val="es-EC"/>
        </w:rPr>
        <w:t xml:space="preserve">), donde el niño debe leer oraciones y responder a las preguntas (de 16 posibles); </w:t>
      </w:r>
    </w:p>
    <w:p w14:paraId="31C674A6" w14:textId="77777777" w:rsidR="006D6364" w:rsidRPr="006D6364" w:rsidRDefault="4379D923" w:rsidP="000B59A2">
      <w:pPr>
        <w:pStyle w:val="Prrafodelista"/>
        <w:numPr>
          <w:ilvl w:val="2"/>
          <w:numId w:val="15"/>
        </w:numPr>
        <w:jc w:val="both"/>
        <w:rPr>
          <w:rFonts w:ascii="Times New Roman" w:hAnsi="Times New Roman" w:cs="Times New Roman"/>
          <w:lang w:val="es-EC"/>
        </w:rPr>
      </w:pPr>
      <w:r w:rsidRPr="006D6364">
        <w:rPr>
          <w:rFonts w:ascii="Times New Roman" w:hAnsi="Times New Roman" w:cs="Times New Roman"/>
          <w:lang w:val="es-EC"/>
        </w:rPr>
        <w:t xml:space="preserve">Comprensión de textos (CT), donde el participante debe leer en voz alta cuatro textos cortos (dos narrativos y dos descriptivos) y luego responder cuatro preguntas inferenciales para cada texto. La puntuación proviene del número total de respuestas correctas (de 16 posibles). </w:t>
      </w:r>
    </w:p>
    <w:p w14:paraId="31CD31AC" w14:textId="77777777" w:rsidR="006D6364" w:rsidRPr="006D6364" w:rsidRDefault="4379D923" w:rsidP="000B59A2">
      <w:pPr>
        <w:pStyle w:val="Prrafodelista"/>
        <w:numPr>
          <w:ilvl w:val="2"/>
          <w:numId w:val="15"/>
        </w:numPr>
        <w:jc w:val="both"/>
        <w:rPr>
          <w:rFonts w:ascii="Times New Roman" w:hAnsi="Times New Roman" w:cs="Times New Roman"/>
          <w:lang w:val="es-EC"/>
        </w:rPr>
      </w:pPr>
      <w:r w:rsidRPr="006D6364">
        <w:rPr>
          <w:rFonts w:ascii="Times New Roman" w:hAnsi="Times New Roman" w:cs="Times New Roman"/>
          <w:lang w:val="es-EC"/>
        </w:rPr>
        <w:t>Otra tarea es la Comprensión Oral (C</w:t>
      </w:r>
      <w:r w:rsidR="0030614E" w:rsidRPr="006D6364">
        <w:rPr>
          <w:rFonts w:ascii="Times New Roman" w:hAnsi="Times New Roman" w:cs="Times New Roman"/>
          <w:lang w:val="es-EC"/>
        </w:rPr>
        <w:t>R</w:t>
      </w:r>
      <w:r w:rsidRPr="006D6364">
        <w:rPr>
          <w:rFonts w:ascii="Times New Roman" w:hAnsi="Times New Roman" w:cs="Times New Roman"/>
          <w:lang w:val="es-EC"/>
        </w:rPr>
        <w:t>)</w:t>
      </w:r>
      <w:r w:rsidR="00F84C3F" w:rsidRPr="006D6364">
        <w:rPr>
          <w:rFonts w:ascii="Times New Roman" w:hAnsi="Times New Roman" w:cs="Times New Roman"/>
          <w:lang w:val="es-EC"/>
        </w:rPr>
        <w:t>,</w:t>
      </w:r>
      <w:r w:rsidRPr="006D6364">
        <w:rPr>
          <w:rFonts w:ascii="Times New Roman" w:hAnsi="Times New Roman" w:cs="Times New Roman"/>
          <w:lang w:val="es-EC"/>
        </w:rPr>
        <w:t xml:space="preserve"> en la que el evaluador lee dos textos descriptivos al niño y comprueba la capacidad de comprensión oral con cuatro preguntas inferenciales por texto (de 8 posibles). </w:t>
      </w:r>
    </w:p>
    <w:p w14:paraId="63CDE0D1" w14:textId="77777777" w:rsidR="006D6364" w:rsidRDefault="006D6364" w:rsidP="006D6364">
      <w:pPr>
        <w:spacing w:line="240" w:lineRule="auto"/>
        <w:jc w:val="both"/>
        <w:rPr>
          <w:lang w:val="es-EC"/>
        </w:rPr>
      </w:pPr>
    </w:p>
    <w:p w14:paraId="118E841F" w14:textId="36BBF5B5" w:rsidR="6A6F3AE7" w:rsidRDefault="4379D923" w:rsidP="006D6364">
      <w:pPr>
        <w:spacing w:line="240" w:lineRule="auto"/>
        <w:jc w:val="both"/>
        <w:rPr>
          <w:szCs w:val="24"/>
          <w:lang w:val="es-EC"/>
        </w:rPr>
      </w:pPr>
      <w:r w:rsidRPr="006D6364">
        <w:rPr>
          <w:szCs w:val="24"/>
          <w:lang w:val="es-EC"/>
        </w:rPr>
        <w:t xml:space="preserve">Finalmente, para calcular los principales índices en estas tareas (NL, </w:t>
      </w:r>
      <w:r w:rsidR="00152F93" w:rsidRPr="006D6364">
        <w:rPr>
          <w:szCs w:val="24"/>
          <w:lang w:val="es-EC"/>
        </w:rPr>
        <w:t>ID</w:t>
      </w:r>
      <w:r w:rsidRPr="006D6364">
        <w:rPr>
          <w:szCs w:val="24"/>
          <w:lang w:val="es-EC"/>
        </w:rPr>
        <w:t xml:space="preserve">, </w:t>
      </w:r>
      <w:r w:rsidR="00152F93" w:rsidRPr="006D6364">
        <w:rPr>
          <w:szCs w:val="24"/>
          <w:lang w:val="es-EC"/>
        </w:rPr>
        <w:t>LP</w:t>
      </w:r>
      <w:r w:rsidRPr="006D6364">
        <w:rPr>
          <w:szCs w:val="24"/>
          <w:lang w:val="es-EC"/>
        </w:rPr>
        <w:t xml:space="preserve">, </w:t>
      </w:r>
      <w:r w:rsidR="00A102FE" w:rsidRPr="006D6364">
        <w:rPr>
          <w:szCs w:val="24"/>
          <w:lang w:val="es-EC"/>
        </w:rPr>
        <w:t>LS</w:t>
      </w:r>
      <w:r w:rsidRPr="006D6364">
        <w:rPr>
          <w:szCs w:val="24"/>
          <w:lang w:val="es-EC"/>
        </w:rPr>
        <w:t xml:space="preserve"> y </w:t>
      </w:r>
      <w:r w:rsidR="00A102FE" w:rsidRPr="006D6364">
        <w:rPr>
          <w:szCs w:val="24"/>
          <w:lang w:val="es-EC"/>
        </w:rPr>
        <w:t>SP</w:t>
      </w:r>
      <w:r w:rsidRPr="006D6364">
        <w:rPr>
          <w:szCs w:val="24"/>
          <w:lang w:val="es-EC"/>
        </w:rPr>
        <w:t>), los autores utilizaron la siguiente fórmula: Índice = (</w:t>
      </w:r>
      <w:r w:rsidR="00392BEB" w:rsidRPr="006D6364">
        <w:rPr>
          <w:szCs w:val="24"/>
          <w:lang w:val="es-EC"/>
        </w:rPr>
        <w:t>Acierto</w:t>
      </w:r>
      <w:r w:rsidRPr="006D6364">
        <w:rPr>
          <w:szCs w:val="24"/>
          <w:lang w:val="es-EC"/>
        </w:rPr>
        <w:t>s / Ti</w:t>
      </w:r>
      <w:r w:rsidR="00392BEB" w:rsidRPr="006D6364">
        <w:rPr>
          <w:szCs w:val="24"/>
          <w:lang w:val="es-EC"/>
        </w:rPr>
        <w:t>empo</w:t>
      </w:r>
      <w:r w:rsidRPr="006D6364">
        <w:rPr>
          <w:szCs w:val="24"/>
          <w:lang w:val="es-EC"/>
        </w:rPr>
        <w:t xml:space="preserve">) x 100. </w:t>
      </w:r>
      <w:r w:rsidR="00392BEB" w:rsidRPr="006D6364">
        <w:rPr>
          <w:szCs w:val="24"/>
          <w:lang w:val="es-EC"/>
        </w:rPr>
        <w:t>Acierto</w:t>
      </w:r>
      <w:r w:rsidRPr="006D6364">
        <w:rPr>
          <w:szCs w:val="24"/>
          <w:lang w:val="es-EC"/>
        </w:rPr>
        <w:t xml:space="preserve">s es la puntuación directa o número de </w:t>
      </w:r>
      <w:r w:rsidR="00392BEB" w:rsidRPr="006D6364">
        <w:rPr>
          <w:szCs w:val="24"/>
          <w:lang w:val="es-EC"/>
        </w:rPr>
        <w:t>aciertos</w:t>
      </w:r>
      <w:r w:rsidRPr="006D6364">
        <w:rPr>
          <w:szCs w:val="24"/>
          <w:lang w:val="es-EC"/>
        </w:rPr>
        <w:t xml:space="preserve"> en la tarea y</w:t>
      </w:r>
      <w:r w:rsidR="00392BEB" w:rsidRPr="006D6364">
        <w:rPr>
          <w:szCs w:val="24"/>
          <w:lang w:val="es-EC"/>
        </w:rPr>
        <w:t xml:space="preserve"> </w:t>
      </w:r>
      <w:r w:rsidRPr="006D6364">
        <w:rPr>
          <w:szCs w:val="24"/>
          <w:lang w:val="es-EC"/>
        </w:rPr>
        <w:t>Tiempo son los segundos invertidos en su ejecución. La aplicación completa del instrumento duró aproximadamente una hora. El ritmo de resolución de cada participante se realizó de forma individual y en una sola sesión.</w:t>
      </w:r>
      <w:bookmarkEnd w:id="8"/>
    </w:p>
    <w:p w14:paraId="34253E11" w14:textId="77777777" w:rsidR="006D6364" w:rsidRPr="006D6364" w:rsidRDefault="006D6364" w:rsidP="006D6364">
      <w:pPr>
        <w:spacing w:line="240" w:lineRule="auto"/>
        <w:jc w:val="both"/>
        <w:rPr>
          <w:szCs w:val="24"/>
          <w:lang w:val="es-EC"/>
        </w:rPr>
      </w:pPr>
    </w:p>
    <w:p w14:paraId="6A3C1F0F" w14:textId="77777777" w:rsidR="004B3CCD" w:rsidRPr="00B059E0" w:rsidRDefault="001C1939" w:rsidP="00B059E0">
      <w:pPr>
        <w:spacing w:line="240" w:lineRule="auto"/>
        <w:ind w:firstLine="0"/>
        <w:jc w:val="both"/>
        <w:rPr>
          <w:b/>
          <w:bCs/>
          <w:i/>
          <w:iCs/>
          <w:szCs w:val="24"/>
          <w:lang w:val="es-EC"/>
        </w:rPr>
      </w:pPr>
      <w:r w:rsidRPr="00B059E0">
        <w:rPr>
          <w:b/>
          <w:bCs/>
          <w:i/>
          <w:iCs/>
          <w:szCs w:val="24"/>
          <w:lang w:val="es-EC"/>
        </w:rPr>
        <w:t>Procedimiento</w:t>
      </w:r>
    </w:p>
    <w:p w14:paraId="1FFD1C1A" w14:textId="3D72C10B" w:rsidR="00921FDD" w:rsidRPr="00B059E0" w:rsidRDefault="00921FDD" w:rsidP="00B059E0">
      <w:pPr>
        <w:spacing w:line="240" w:lineRule="auto"/>
        <w:jc w:val="both"/>
        <w:rPr>
          <w:szCs w:val="24"/>
          <w:lang w:val="es-EC"/>
        </w:rPr>
      </w:pPr>
      <w:bookmarkStart w:id="9" w:name="_Toc40025289"/>
      <w:bookmarkStart w:id="10" w:name="_Toc42904638"/>
      <w:bookmarkStart w:id="11" w:name="_Toc45662998"/>
      <w:r w:rsidRPr="00B059E0">
        <w:rPr>
          <w:szCs w:val="24"/>
          <w:lang w:val="es-EC"/>
        </w:rPr>
        <w:t>Todos los participantes fueron evaluados siguiendo el mismo orden de aplicación de los instrumentos. Para completar la aplicación de todas las tareas fueron necesarias tres sesiones de aproximadamente 45 minutos cada una. En la primera sesión, la secuencia de aplicación fue la siguiente: secciones 1 y 2 de</w:t>
      </w:r>
      <w:r w:rsidR="002F7308" w:rsidRPr="00B059E0">
        <w:rPr>
          <w:szCs w:val="24"/>
          <w:lang w:val="es-EC"/>
        </w:rPr>
        <w:t xml:space="preserve"> la escala</w:t>
      </w:r>
      <w:r w:rsidRPr="00B059E0">
        <w:rPr>
          <w:szCs w:val="24"/>
          <w:lang w:val="es-EC"/>
        </w:rPr>
        <w:t xml:space="preserve"> IRPS. En la segunda sesión, los investigadores utilizaron la prueba PROLEC-R y finalmente, en la tercera sesión, el </w:t>
      </w:r>
      <w:r w:rsidR="002F7308" w:rsidRPr="00B059E0">
        <w:rPr>
          <w:szCs w:val="24"/>
          <w:lang w:val="es-EC"/>
        </w:rPr>
        <w:t xml:space="preserve">examinador </w:t>
      </w:r>
      <w:r w:rsidRPr="00B059E0">
        <w:rPr>
          <w:szCs w:val="24"/>
          <w:lang w:val="es-EC"/>
        </w:rPr>
        <w:t>Irlen administró la sección 3 de</w:t>
      </w:r>
      <w:r w:rsidR="00367DF4" w:rsidRPr="00B059E0">
        <w:rPr>
          <w:szCs w:val="24"/>
          <w:lang w:val="es-EC"/>
        </w:rPr>
        <w:t xml:space="preserve"> </w:t>
      </w:r>
      <w:r w:rsidRPr="00B059E0">
        <w:rPr>
          <w:szCs w:val="24"/>
          <w:lang w:val="es-EC"/>
        </w:rPr>
        <w:t>l</w:t>
      </w:r>
      <w:r w:rsidR="00367DF4" w:rsidRPr="00B059E0">
        <w:rPr>
          <w:szCs w:val="24"/>
          <w:lang w:val="es-EC"/>
        </w:rPr>
        <w:t>a</w:t>
      </w:r>
      <w:r w:rsidR="002F7308" w:rsidRPr="00B059E0">
        <w:rPr>
          <w:szCs w:val="24"/>
          <w:lang w:val="es-EC"/>
        </w:rPr>
        <w:t xml:space="preserve"> </w:t>
      </w:r>
      <w:r w:rsidRPr="00B059E0">
        <w:rPr>
          <w:szCs w:val="24"/>
          <w:lang w:val="es-EC"/>
        </w:rPr>
        <w:t>IRPS.</w:t>
      </w:r>
    </w:p>
    <w:p w14:paraId="128467F6" w14:textId="2755FC28" w:rsidR="009442D8" w:rsidRDefault="00921FDD" w:rsidP="00B059E0">
      <w:pPr>
        <w:spacing w:line="240" w:lineRule="auto"/>
        <w:jc w:val="both"/>
        <w:rPr>
          <w:szCs w:val="24"/>
          <w:lang w:val="es-EC"/>
        </w:rPr>
      </w:pPr>
      <w:r w:rsidRPr="00B059E0">
        <w:rPr>
          <w:szCs w:val="24"/>
          <w:lang w:val="es-EC"/>
        </w:rPr>
        <w:t xml:space="preserve">Los representantes legales de todos los participantes recibieron y firmaron el documento de consentimiento informado según las recomendaciones del Comité de Bioética </w:t>
      </w:r>
      <w:r w:rsidR="003B6284" w:rsidRPr="00B059E0">
        <w:rPr>
          <w:szCs w:val="24"/>
          <w:lang w:val="es-EC"/>
        </w:rPr>
        <w:t xml:space="preserve">y la </w:t>
      </w:r>
      <w:r w:rsidRPr="00B059E0">
        <w:rPr>
          <w:szCs w:val="24"/>
          <w:lang w:val="es-EC"/>
        </w:rPr>
        <w:t>Declaración de Helsinki (</w:t>
      </w:r>
      <w:r w:rsidR="001A1A11">
        <w:rPr>
          <w:szCs w:val="24"/>
          <w:lang w:val="es-EC"/>
        </w:rPr>
        <w:t xml:space="preserve">World Medical Association, </w:t>
      </w:r>
      <w:r w:rsidRPr="00B059E0">
        <w:rPr>
          <w:szCs w:val="24"/>
          <w:lang w:val="es-EC"/>
        </w:rPr>
        <w:t>2008). Los datos fueron reco</w:t>
      </w:r>
      <w:r w:rsidR="002F7308" w:rsidRPr="00B059E0">
        <w:rPr>
          <w:szCs w:val="24"/>
          <w:lang w:val="es-EC"/>
        </w:rPr>
        <w:t>gi</w:t>
      </w:r>
      <w:r w:rsidRPr="00B059E0">
        <w:rPr>
          <w:szCs w:val="24"/>
          <w:lang w:val="es-EC"/>
        </w:rPr>
        <w:t xml:space="preserve">dos </w:t>
      </w:r>
      <w:r w:rsidR="002F7308" w:rsidRPr="00B059E0">
        <w:rPr>
          <w:szCs w:val="24"/>
          <w:lang w:val="es-EC"/>
        </w:rPr>
        <w:t>después</w:t>
      </w:r>
      <w:r w:rsidRPr="00B059E0">
        <w:rPr>
          <w:szCs w:val="24"/>
          <w:lang w:val="es-EC"/>
        </w:rPr>
        <w:t xml:space="preserve"> de obtener el documento de consentimiento informado firmado </w:t>
      </w:r>
      <w:r w:rsidR="002F7308" w:rsidRPr="00B059E0">
        <w:rPr>
          <w:szCs w:val="24"/>
          <w:lang w:val="es-EC"/>
        </w:rPr>
        <w:t>por</w:t>
      </w:r>
      <w:r w:rsidRPr="00B059E0">
        <w:rPr>
          <w:szCs w:val="24"/>
          <w:lang w:val="es-EC"/>
        </w:rPr>
        <w:t xml:space="preserve"> cada representante legal. La investigación fue aprobada por el Comité de Bioética de la Universidad de Cuenca.</w:t>
      </w:r>
    </w:p>
    <w:p w14:paraId="6BB8DC85" w14:textId="77777777" w:rsidR="006D6364" w:rsidRPr="00B059E0" w:rsidRDefault="006D6364" w:rsidP="00B059E0">
      <w:pPr>
        <w:spacing w:line="240" w:lineRule="auto"/>
        <w:jc w:val="both"/>
        <w:rPr>
          <w:szCs w:val="24"/>
          <w:lang w:val="es-EC"/>
        </w:rPr>
      </w:pPr>
    </w:p>
    <w:p w14:paraId="35AEDFB3" w14:textId="77777777" w:rsidR="009442D8" w:rsidRPr="00B059E0" w:rsidRDefault="009442D8" w:rsidP="00B059E0">
      <w:pPr>
        <w:spacing w:line="240" w:lineRule="auto"/>
        <w:ind w:firstLine="0"/>
        <w:jc w:val="both"/>
        <w:rPr>
          <w:b/>
          <w:bCs/>
          <w:i/>
          <w:iCs/>
          <w:szCs w:val="24"/>
          <w:lang w:val="es-EC"/>
        </w:rPr>
      </w:pPr>
      <w:r w:rsidRPr="00B059E0">
        <w:rPr>
          <w:b/>
          <w:bCs/>
          <w:i/>
          <w:iCs/>
          <w:szCs w:val="24"/>
          <w:lang w:val="es-EC"/>
        </w:rPr>
        <w:t>Análisis de datos</w:t>
      </w:r>
    </w:p>
    <w:p w14:paraId="618ABB21" w14:textId="4E113C85" w:rsidR="009442D8" w:rsidRPr="00B059E0" w:rsidRDefault="009442D8" w:rsidP="00B059E0">
      <w:pPr>
        <w:spacing w:line="240" w:lineRule="auto"/>
        <w:jc w:val="both"/>
        <w:rPr>
          <w:rFonts w:eastAsia="Times New Roman"/>
          <w:szCs w:val="24"/>
          <w:lang w:val="es-EC"/>
        </w:rPr>
      </w:pPr>
      <w:r w:rsidRPr="00B059E0">
        <w:rPr>
          <w:rFonts w:eastAsia="Times New Roman"/>
          <w:szCs w:val="24"/>
          <w:lang w:val="es-EC"/>
        </w:rPr>
        <w:t xml:space="preserve">Para el análisis de datos, </w:t>
      </w:r>
      <w:r w:rsidR="004B4225" w:rsidRPr="00B059E0">
        <w:rPr>
          <w:rFonts w:eastAsia="Times New Roman"/>
          <w:szCs w:val="24"/>
          <w:lang w:val="es-EC"/>
        </w:rPr>
        <w:t>se utilizó</w:t>
      </w:r>
      <w:r w:rsidRPr="00B059E0">
        <w:rPr>
          <w:rFonts w:eastAsia="Times New Roman"/>
          <w:szCs w:val="24"/>
          <w:lang w:val="es-EC"/>
        </w:rPr>
        <w:t xml:space="preserve"> el Paquete Estadístico para Ciencias Sociales (SPSS) versión 23 y un índice de confiabilidad del 95% con un margen de error de 0</w:t>
      </w:r>
      <w:r w:rsidR="00F84C3F" w:rsidRPr="00B059E0">
        <w:rPr>
          <w:rFonts w:eastAsia="Times New Roman"/>
          <w:szCs w:val="24"/>
          <w:lang w:val="es-EC"/>
        </w:rPr>
        <w:t>.</w:t>
      </w:r>
      <w:r w:rsidRPr="00B059E0">
        <w:rPr>
          <w:rFonts w:eastAsia="Times New Roman"/>
          <w:szCs w:val="24"/>
          <w:lang w:val="es-EC"/>
        </w:rPr>
        <w:t xml:space="preserve">05. Todas las variables que implicaron puntuaciones en las dimensiones evaluadas son </w:t>
      </w:r>
      <w:r w:rsidR="008E0444" w:rsidRPr="00B059E0">
        <w:rPr>
          <w:rFonts w:eastAsia="Times New Roman"/>
          <w:szCs w:val="24"/>
          <w:lang w:val="es-EC"/>
        </w:rPr>
        <w:t>de</w:t>
      </w:r>
      <w:r w:rsidR="00367DF4" w:rsidRPr="00B059E0">
        <w:rPr>
          <w:rFonts w:eastAsia="Times New Roman"/>
          <w:szCs w:val="24"/>
          <w:lang w:val="es-EC"/>
        </w:rPr>
        <w:t xml:space="preserve"> </w:t>
      </w:r>
      <w:r w:rsidRPr="00B059E0">
        <w:rPr>
          <w:rFonts w:eastAsia="Times New Roman"/>
          <w:szCs w:val="24"/>
          <w:lang w:val="es-EC"/>
        </w:rPr>
        <w:t>intervalo y razón. Por ello, previo al análisis estadístico inferencial, se realizó la aplicación de la prueba de Kolmogorov-Smirnov, la cual mostró una distribución no normal (</w:t>
      </w:r>
      <w:r w:rsidRPr="00B059E0">
        <w:rPr>
          <w:rFonts w:eastAsia="Times New Roman"/>
          <w:i/>
          <w:iCs/>
          <w:szCs w:val="24"/>
          <w:lang w:val="es-EC"/>
        </w:rPr>
        <w:t xml:space="preserve">p </w:t>
      </w:r>
      <w:r w:rsidRPr="00B059E0">
        <w:rPr>
          <w:rFonts w:eastAsia="Times New Roman"/>
          <w:szCs w:val="24"/>
          <w:lang w:val="es-EC"/>
        </w:rPr>
        <w:t>≤ 0</w:t>
      </w:r>
      <w:r w:rsidR="001A5CD9" w:rsidRPr="00B059E0">
        <w:rPr>
          <w:rFonts w:eastAsia="Times New Roman"/>
          <w:szCs w:val="24"/>
          <w:lang w:val="es-EC"/>
        </w:rPr>
        <w:t>.</w:t>
      </w:r>
      <w:r w:rsidRPr="00B059E0">
        <w:rPr>
          <w:rFonts w:eastAsia="Times New Roman"/>
          <w:szCs w:val="24"/>
          <w:lang w:val="es-EC"/>
        </w:rPr>
        <w:t xml:space="preserve">05) para todas las variables. También fue posible verificar </w:t>
      </w:r>
      <w:r w:rsidR="008E0444" w:rsidRPr="00B059E0">
        <w:rPr>
          <w:rFonts w:eastAsia="Times New Roman"/>
          <w:szCs w:val="24"/>
          <w:lang w:val="es-EC"/>
        </w:rPr>
        <w:t>que las variables del PROLEC-R no fueron homogéneas utilizando</w:t>
      </w:r>
      <w:r w:rsidRPr="00B059E0">
        <w:rPr>
          <w:rFonts w:eastAsia="Times New Roman"/>
          <w:szCs w:val="24"/>
          <w:lang w:val="es-EC"/>
        </w:rPr>
        <w:t xml:space="preserve"> la prueba de homogeneidad de varianzas entre grupos (</w:t>
      </w:r>
      <w:r w:rsidRPr="00B059E0">
        <w:rPr>
          <w:rFonts w:eastAsia="Times New Roman"/>
          <w:i/>
          <w:iCs/>
          <w:szCs w:val="24"/>
          <w:lang w:val="es-EC"/>
        </w:rPr>
        <w:t xml:space="preserve">p </w:t>
      </w:r>
      <w:r w:rsidRPr="00B059E0">
        <w:rPr>
          <w:rFonts w:eastAsia="Times New Roman"/>
          <w:szCs w:val="24"/>
          <w:lang w:val="es-EC"/>
        </w:rPr>
        <w:t>&lt; 0</w:t>
      </w:r>
      <w:r w:rsidR="001A5CD9" w:rsidRPr="00B059E0">
        <w:rPr>
          <w:rFonts w:eastAsia="Times New Roman"/>
          <w:szCs w:val="24"/>
          <w:lang w:val="es-EC"/>
        </w:rPr>
        <w:t>.</w:t>
      </w:r>
      <w:r w:rsidRPr="00B059E0">
        <w:rPr>
          <w:rFonts w:eastAsia="Times New Roman"/>
          <w:szCs w:val="24"/>
          <w:lang w:val="es-EC"/>
        </w:rPr>
        <w:t xml:space="preserve">05). Por estas razones, para los análisis estadísticos, este estudio utilizó pruebas no paramétricas considerando su distribución y homocedasticidad: la prueba </w:t>
      </w:r>
      <w:r w:rsidRPr="00B059E0">
        <w:rPr>
          <w:rFonts w:eastAsia="Times New Roman"/>
          <w:i/>
          <w:iCs/>
          <w:szCs w:val="24"/>
          <w:lang w:val="es-EC"/>
        </w:rPr>
        <w:t xml:space="preserve">U de Mann-Whitney </w:t>
      </w:r>
      <w:r w:rsidRPr="00B059E0">
        <w:rPr>
          <w:rFonts w:eastAsia="Times New Roman"/>
          <w:szCs w:val="24"/>
          <w:lang w:val="es-EC"/>
        </w:rPr>
        <w:t>fue utilizada para las comparaciones entre el</w:t>
      </w:r>
      <w:r w:rsidR="00367DF4" w:rsidRPr="00B059E0">
        <w:rPr>
          <w:rFonts w:eastAsia="Times New Roman"/>
          <w:szCs w:val="24"/>
          <w:lang w:val="es-EC"/>
        </w:rPr>
        <w:t xml:space="preserve"> GSI</w:t>
      </w:r>
      <w:r w:rsidR="00693F2A" w:rsidRPr="00B059E0">
        <w:rPr>
          <w:rFonts w:eastAsia="Times New Roman"/>
          <w:szCs w:val="24"/>
          <w:lang w:val="es-EC"/>
        </w:rPr>
        <w:t xml:space="preserve"> </w:t>
      </w:r>
      <w:r w:rsidRPr="00B059E0">
        <w:rPr>
          <w:rFonts w:eastAsia="Times New Roman"/>
          <w:szCs w:val="24"/>
          <w:lang w:val="es-EC"/>
        </w:rPr>
        <w:t xml:space="preserve">y el GC, y la prueba </w:t>
      </w:r>
      <w:r w:rsidRPr="00B059E0">
        <w:rPr>
          <w:rFonts w:eastAsia="Times New Roman"/>
          <w:i/>
          <w:iCs/>
          <w:szCs w:val="24"/>
          <w:lang w:val="es-EC"/>
        </w:rPr>
        <w:t xml:space="preserve">d de Cohen </w:t>
      </w:r>
      <w:r w:rsidRPr="00B059E0">
        <w:rPr>
          <w:rFonts w:eastAsia="Times New Roman"/>
          <w:szCs w:val="24"/>
          <w:lang w:val="es-EC"/>
        </w:rPr>
        <w:t>para analizar el tamaño del efecto.</w:t>
      </w:r>
    </w:p>
    <w:p w14:paraId="1D4CB2EF" w14:textId="49045429" w:rsidR="004B3CCD" w:rsidRPr="00B059E0" w:rsidRDefault="001C1939" w:rsidP="00B059E0">
      <w:pPr>
        <w:spacing w:line="240" w:lineRule="auto"/>
        <w:ind w:firstLine="0"/>
        <w:jc w:val="both"/>
        <w:rPr>
          <w:b/>
          <w:bCs/>
          <w:i/>
          <w:iCs/>
          <w:szCs w:val="24"/>
          <w:lang w:val="es-EC"/>
        </w:rPr>
      </w:pPr>
      <w:r w:rsidRPr="00B059E0">
        <w:rPr>
          <w:b/>
          <w:bCs/>
          <w:szCs w:val="24"/>
          <w:lang w:val="es-EC"/>
        </w:rPr>
        <w:lastRenderedPageBreak/>
        <w:t>R</w:t>
      </w:r>
      <w:bookmarkEnd w:id="9"/>
      <w:bookmarkEnd w:id="10"/>
      <w:bookmarkEnd w:id="11"/>
      <w:r w:rsidRPr="00B059E0">
        <w:rPr>
          <w:b/>
          <w:bCs/>
          <w:szCs w:val="24"/>
          <w:lang w:val="es-EC"/>
        </w:rPr>
        <w:t>esultados</w:t>
      </w:r>
    </w:p>
    <w:p w14:paraId="09596F09" w14:textId="41CDF281" w:rsidR="00B07D49" w:rsidRPr="00B059E0" w:rsidRDefault="00B07D49" w:rsidP="00B059E0">
      <w:pPr>
        <w:spacing w:line="240" w:lineRule="auto"/>
        <w:jc w:val="both"/>
        <w:rPr>
          <w:rFonts w:eastAsia="Times New Roman"/>
          <w:szCs w:val="24"/>
          <w:lang w:val="es-EC"/>
        </w:rPr>
      </w:pPr>
      <w:r w:rsidRPr="00B059E0">
        <w:rPr>
          <w:rFonts w:eastAsia="Times New Roman"/>
          <w:szCs w:val="24"/>
          <w:lang w:val="es-EC"/>
        </w:rPr>
        <w:t xml:space="preserve">Para la discriminación de grupos, se utilizó el análisis de la curva ROC para determinar un punto de referencia y distinguir el grupo </w:t>
      </w:r>
      <w:r w:rsidR="0055624E" w:rsidRPr="00B059E0">
        <w:rPr>
          <w:rFonts w:eastAsia="Times New Roman"/>
          <w:szCs w:val="24"/>
          <w:lang w:val="es-EC"/>
        </w:rPr>
        <w:t>SI</w:t>
      </w:r>
      <w:r w:rsidRPr="00B059E0">
        <w:rPr>
          <w:rFonts w:eastAsia="Times New Roman"/>
          <w:szCs w:val="24"/>
          <w:lang w:val="es-EC"/>
        </w:rPr>
        <w:t xml:space="preserve"> y el grupo de control en función de la puntuación total de la sección 1 y los criterios definidos en la sección 3 de la </w:t>
      </w:r>
      <w:r w:rsidR="00D552C9" w:rsidRPr="00B059E0">
        <w:rPr>
          <w:rFonts w:eastAsia="Times New Roman"/>
          <w:szCs w:val="24"/>
          <w:lang w:val="es-EC"/>
        </w:rPr>
        <w:t xml:space="preserve">escala </w:t>
      </w:r>
      <w:r w:rsidRPr="00B059E0">
        <w:rPr>
          <w:rFonts w:eastAsia="Times New Roman"/>
          <w:szCs w:val="24"/>
          <w:lang w:val="es-EC"/>
        </w:rPr>
        <w:t xml:space="preserve">IRPS. La prueba </w:t>
      </w:r>
      <w:r w:rsidRPr="00B059E0">
        <w:rPr>
          <w:rFonts w:eastAsia="Times New Roman"/>
          <w:i/>
          <w:iCs/>
          <w:szCs w:val="24"/>
          <w:lang w:val="es-EC"/>
        </w:rPr>
        <w:t xml:space="preserve">U de Mann Whitney </w:t>
      </w:r>
      <w:r w:rsidRPr="00B059E0">
        <w:rPr>
          <w:rFonts w:eastAsia="Times New Roman"/>
          <w:szCs w:val="24"/>
          <w:lang w:val="es-EC"/>
        </w:rPr>
        <w:t>mostró diferencias significativas en ambas dimensiones de la sección 1 (</w:t>
      </w:r>
      <w:r w:rsidRPr="00B059E0">
        <w:rPr>
          <w:rFonts w:eastAsia="Times New Roman"/>
          <w:i/>
          <w:iCs/>
          <w:szCs w:val="24"/>
          <w:lang w:val="es-EC"/>
        </w:rPr>
        <w:t xml:space="preserve">p </w:t>
      </w:r>
      <w:r w:rsidRPr="00B059E0">
        <w:rPr>
          <w:rFonts w:eastAsia="Times New Roman"/>
          <w:szCs w:val="24"/>
          <w:lang w:val="es-EC"/>
        </w:rPr>
        <w:t>&lt; 0</w:t>
      </w:r>
      <w:r w:rsidR="001A5CD9" w:rsidRPr="00B059E0">
        <w:rPr>
          <w:rFonts w:eastAsia="Times New Roman"/>
          <w:szCs w:val="24"/>
          <w:lang w:val="es-EC"/>
        </w:rPr>
        <w:t>.</w:t>
      </w:r>
      <w:r w:rsidRPr="00B059E0">
        <w:rPr>
          <w:rFonts w:eastAsia="Times New Roman"/>
          <w:szCs w:val="24"/>
          <w:lang w:val="es-EC"/>
        </w:rPr>
        <w:t>05) y todas las tareas de la sección 2 (</w:t>
      </w:r>
      <w:r w:rsidRPr="00B059E0">
        <w:rPr>
          <w:rFonts w:eastAsia="Times New Roman"/>
          <w:i/>
          <w:iCs/>
          <w:szCs w:val="24"/>
          <w:lang w:val="es-EC"/>
        </w:rPr>
        <w:t xml:space="preserve">p </w:t>
      </w:r>
      <w:r w:rsidRPr="00B059E0">
        <w:rPr>
          <w:rFonts w:eastAsia="Times New Roman"/>
          <w:szCs w:val="24"/>
          <w:lang w:val="es-EC"/>
        </w:rPr>
        <w:t>&lt; 0</w:t>
      </w:r>
      <w:r w:rsidR="001A5CD9" w:rsidRPr="00B059E0">
        <w:rPr>
          <w:rFonts w:eastAsia="Times New Roman"/>
          <w:szCs w:val="24"/>
          <w:lang w:val="es-EC"/>
        </w:rPr>
        <w:t>.</w:t>
      </w:r>
      <w:r w:rsidRPr="00B059E0">
        <w:rPr>
          <w:rFonts w:eastAsia="Times New Roman"/>
          <w:szCs w:val="24"/>
          <w:lang w:val="es-EC"/>
        </w:rPr>
        <w:t>05). Estos resultados indicaron que las distorsiones, los trastornos visuales y la capacidad de percepción eran significativamente peores en los niños con SI en comparación con los que no los tenían (</w:t>
      </w:r>
      <w:r w:rsidR="00A525CF">
        <w:rPr>
          <w:rFonts w:eastAsia="Times New Roman"/>
          <w:szCs w:val="24"/>
          <w:lang w:val="es-EC"/>
        </w:rPr>
        <w:t>t</w:t>
      </w:r>
      <w:r w:rsidRPr="00B059E0">
        <w:rPr>
          <w:rFonts w:eastAsia="Times New Roman"/>
          <w:szCs w:val="24"/>
          <w:lang w:val="es-EC"/>
        </w:rPr>
        <w:t>abla 1).</w:t>
      </w:r>
    </w:p>
    <w:p w14:paraId="7594FD64" w14:textId="77777777" w:rsidR="00A525CF" w:rsidRDefault="00A525CF" w:rsidP="00A525CF">
      <w:pPr>
        <w:spacing w:line="240" w:lineRule="auto"/>
        <w:ind w:firstLine="0"/>
        <w:jc w:val="both"/>
        <w:rPr>
          <w:szCs w:val="24"/>
          <w:lang w:val="es-EC"/>
        </w:rPr>
      </w:pPr>
    </w:p>
    <w:p w14:paraId="6FC9DF75" w14:textId="4C41E027" w:rsidR="00A525CF" w:rsidRDefault="00A525CF" w:rsidP="00A525CF">
      <w:pPr>
        <w:spacing w:line="240" w:lineRule="auto"/>
        <w:ind w:firstLine="0"/>
        <w:jc w:val="both"/>
        <w:rPr>
          <w:b/>
          <w:bCs/>
          <w:szCs w:val="24"/>
          <w:lang w:val="es-EC"/>
        </w:rPr>
      </w:pPr>
      <w:r w:rsidRPr="00B059E0">
        <w:rPr>
          <w:b/>
          <w:bCs/>
          <w:szCs w:val="24"/>
          <w:lang w:val="es-EC"/>
        </w:rPr>
        <w:t xml:space="preserve">Tabla 1 </w:t>
      </w:r>
    </w:p>
    <w:p w14:paraId="2E8E8EB4" w14:textId="77777777" w:rsidR="00A525CF" w:rsidRPr="006202E1" w:rsidRDefault="00A525CF" w:rsidP="00A525CF">
      <w:pPr>
        <w:spacing w:line="240" w:lineRule="auto"/>
        <w:ind w:firstLine="0"/>
        <w:jc w:val="both"/>
        <w:rPr>
          <w:i/>
          <w:iCs/>
          <w:szCs w:val="24"/>
          <w:lang w:val="es-EC"/>
        </w:rPr>
      </w:pPr>
      <w:r w:rsidRPr="006202E1">
        <w:rPr>
          <w:i/>
          <w:iCs/>
          <w:szCs w:val="24"/>
          <w:lang w:val="es-EC"/>
        </w:rPr>
        <w:t>Medias (y DE) de las puntuaciones en la Escala Perceptiva de Lectura de Irlen (IRPS) en el grupo Síndrome de Irlen (GSI) y el grupo control No Irlen (GC)</w:t>
      </w:r>
    </w:p>
    <w:tbl>
      <w:tblPr>
        <w:tblW w:w="8838" w:type="dxa"/>
        <w:tblCellMar>
          <w:left w:w="70" w:type="dxa"/>
          <w:right w:w="70" w:type="dxa"/>
        </w:tblCellMar>
        <w:tblLook w:val="04A0" w:firstRow="1" w:lastRow="0" w:firstColumn="1" w:lastColumn="0" w:noHBand="0" w:noVBand="1"/>
      </w:tblPr>
      <w:tblGrid>
        <w:gridCol w:w="1005"/>
        <w:gridCol w:w="2964"/>
        <w:gridCol w:w="1276"/>
        <w:gridCol w:w="1276"/>
        <w:gridCol w:w="1276"/>
        <w:gridCol w:w="1041"/>
      </w:tblGrid>
      <w:tr w:rsidR="00A525CF" w:rsidRPr="00B059E0" w14:paraId="35C64355" w14:textId="77777777" w:rsidTr="002272BE">
        <w:trPr>
          <w:trHeight w:val="300"/>
        </w:trPr>
        <w:tc>
          <w:tcPr>
            <w:tcW w:w="1005" w:type="dxa"/>
            <w:tcBorders>
              <w:top w:val="single" w:sz="4" w:space="0" w:color="auto"/>
              <w:left w:val="nil"/>
              <w:bottom w:val="single" w:sz="4" w:space="0" w:color="auto"/>
              <w:right w:val="nil"/>
            </w:tcBorders>
            <w:shd w:val="clear" w:color="auto" w:fill="auto"/>
            <w:noWrap/>
            <w:vAlign w:val="center"/>
            <w:hideMark/>
          </w:tcPr>
          <w:p w14:paraId="2E056B54" w14:textId="77777777" w:rsidR="00A525CF" w:rsidRPr="00B059E0" w:rsidRDefault="00A525CF" w:rsidP="002272BE">
            <w:pPr>
              <w:pStyle w:val="Correspondencedetails"/>
              <w:spacing w:before="0" w:line="240" w:lineRule="auto"/>
              <w:jc w:val="both"/>
              <w:rPr>
                <w:color w:val="000000"/>
              </w:rPr>
            </w:pPr>
            <w:r w:rsidRPr="00B059E0">
              <w:t>Sección</w:t>
            </w:r>
          </w:p>
        </w:tc>
        <w:tc>
          <w:tcPr>
            <w:tcW w:w="2964" w:type="dxa"/>
            <w:tcBorders>
              <w:top w:val="single" w:sz="4" w:space="0" w:color="auto"/>
              <w:left w:val="nil"/>
              <w:bottom w:val="single" w:sz="4" w:space="0" w:color="auto"/>
              <w:right w:val="nil"/>
            </w:tcBorders>
            <w:shd w:val="clear" w:color="auto" w:fill="auto"/>
            <w:vAlign w:val="center"/>
            <w:hideMark/>
          </w:tcPr>
          <w:p w14:paraId="20F34A7D" w14:textId="77777777" w:rsidR="00A525CF" w:rsidRPr="00B059E0" w:rsidRDefault="00A525CF" w:rsidP="002272BE">
            <w:pPr>
              <w:pStyle w:val="Correspondencedetails"/>
              <w:spacing w:before="0" w:line="240" w:lineRule="auto"/>
              <w:jc w:val="both"/>
              <w:rPr>
                <w:color w:val="000000"/>
              </w:rPr>
            </w:pPr>
            <w:r w:rsidRPr="00B059E0">
              <w:rPr>
                <w:color w:val="000000"/>
              </w:rPr>
              <w:t>Tarea</w:t>
            </w:r>
          </w:p>
        </w:tc>
        <w:tc>
          <w:tcPr>
            <w:tcW w:w="1276" w:type="dxa"/>
            <w:tcBorders>
              <w:top w:val="single" w:sz="4" w:space="0" w:color="auto"/>
              <w:left w:val="nil"/>
              <w:bottom w:val="single" w:sz="4" w:space="0" w:color="auto"/>
              <w:right w:val="nil"/>
            </w:tcBorders>
            <w:shd w:val="clear" w:color="auto" w:fill="auto"/>
            <w:vAlign w:val="center"/>
            <w:hideMark/>
          </w:tcPr>
          <w:p w14:paraId="307D5023" w14:textId="77777777" w:rsidR="00A525CF" w:rsidRPr="00B059E0" w:rsidRDefault="00A525CF" w:rsidP="002272BE">
            <w:pPr>
              <w:pStyle w:val="Correspondencedetails"/>
              <w:spacing w:before="0" w:line="240" w:lineRule="auto"/>
              <w:jc w:val="center"/>
              <w:rPr>
                <w:color w:val="000000"/>
              </w:rPr>
            </w:pPr>
            <w:r w:rsidRPr="00B059E0">
              <w:rPr>
                <w:color w:val="000000"/>
              </w:rPr>
              <w:t>GSI</w:t>
            </w:r>
          </w:p>
        </w:tc>
        <w:tc>
          <w:tcPr>
            <w:tcW w:w="1276" w:type="dxa"/>
            <w:tcBorders>
              <w:top w:val="single" w:sz="4" w:space="0" w:color="auto"/>
              <w:left w:val="nil"/>
              <w:bottom w:val="single" w:sz="4" w:space="0" w:color="auto"/>
              <w:right w:val="nil"/>
            </w:tcBorders>
            <w:shd w:val="clear" w:color="auto" w:fill="auto"/>
            <w:vAlign w:val="center"/>
            <w:hideMark/>
          </w:tcPr>
          <w:p w14:paraId="5278276E" w14:textId="77777777" w:rsidR="00A525CF" w:rsidRPr="00B059E0" w:rsidRDefault="00A525CF" w:rsidP="002272BE">
            <w:pPr>
              <w:pStyle w:val="Correspondencedetails"/>
              <w:spacing w:before="0" w:line="240" w:lineRule="auto"/>
              <w:jc w:val="center"/>
              <w:rPr>
                <w:color w:val="000000"/>
              </w:rPr>
            </w:pPr>
            <w:r w:rsidRPr="00B059E0">
              <w:rPr>
                <w:color w:val="000000"/>
              </w:rPr>
              <w:t>GC</w:t>
            </w:r>
          </w:p>
        </w:tc>
        <w:tc>
          <w:tcPr>
            <w:tcW w:w="1276" w:type="dxa"/>
            <w:tcBorders>
              <w:top w:val="single" w:sz="4" w:space="0" w:color="auto"/>
              <w:left w:val="nil"/>
              <w:bottom w:val="single" w:sz="4" w:space="0" w:color="auto"/>
              <w:right w:val="nil"/>
            </w:tcBorders>
            <w:shd w:val="clear" w:color="auto" w:fill="auto"/>
            <w:noWrap/>
            <w:vAlign w:val="center"/>
            <w:hideMark/>
          </w:tcPr>
          <w:p w14:paraId="668D8332" w14:textId="77777777" w:rsidR="00A525CF" w:rsidRPr="00B059E0" w:rsidRDefault="00A525CF" w:rsidP="002272BE">
            <w:pPr>
              <w:pStyle w:val="Correspondencedetails"/>
              <w:spacing w:before="0" w:line="240" w:lineRule="auto"/>
              <w:jc w:val="center"/>
              <w:rPr>
                <w:i/>
                <w:iCs/>
                <w:color w:val="000000"/>
              </w:rPr>
            </w:pPr>
            <w:r w:rsidRPr="00B059E0">
              <w:rPr>
                <w:i/>
                <w:iCs/>
                <w:color w:val="000000"/>
              </w:rPr>
              <w:t>U</w:t>
            </w:r>
          </w:p>
        </w:tc>
        <w:tc>
          <w:tcPr>
            <w:tcW w:w="1041" w:type="dxa"/>
            <w:tcBorders>
              <w:top w:val="single" w:sz="4" w:space="0" w:color="auto"/>
              <w:left w:val="nil"/>
              <w:bottom w:val="single" w:sz="4" w:space="0" w:color="auto"/>
              <w:right w:val="nil"/>
            </w:tcBorders>
            <w:shd w:val="clear" w:color="auto" w:fill="auto"/>
            <w:noWrap/>
            <w:vAlign w:val="center"/>
            <w:hideMark/>
          </w:tcPr>
          <w:p w14:paraId="5DEF0601" w14:textId="77777777" w:rsidR="00A525CF" w:rsidRPr="00B059E0" w:rsidRDefault="00A525CF" w:rsidP="002272BE">
            <w:pPr>
              <w:pStyle w:val="Correspondencedetails"/>
              <w:spacing w:before="0" w:line="240" w:lineRule="auto"/>
              <w:jc w:val="center"/>
              <w:rPr>
                <w:i/>
                <w:iCs/>
                <w:color w:val="000000"/>
              </w:rPr>
            </w:pPr>
            <w:r w:rsidRPr="00B059E0">
              <w:rPr>
                <w:i/>
                <w:iCs/>
                <w:color w:val="000000"/>
              </w:rPr>
              <w:t>d</w:t>
            </w:r>
          </w:p>
        </w:tc>
      </w:tr>
      <w:tr w:rsidR="00A525CF" w:rsidRPr="00B059E0" w14:paraId="52B2C1DF" w14:textId="77777777" w:rsidTr="002272BE">
        <w:trPr>
          <w:trHeight w:val="450"/>
        </w:trPr>
        <w:tc>
          <w:tcPr>
            <w:tcW w:w="1005" w:type="dxa"/>
            <w:vMerge w:val="restart"/>
            <w:tcBorders>
              <w:top w:val="single" w:sz="4" w:space="0" w:color="auto"/>
              <w:left w:val="nil"/>
              <w:bottom w:val="nil"/>
              <w:right w:val="nil"/>
            </w:tcBorders>
            <w:shd w:val="clear" w:color="auto" w:fill="auto"/>
            <w:noWrap/>
            <w:vAlign w:val="center"/>
            <w:hideMark/>
          </w:tcPr>
          <w:p w14:paraId="1211EE18" w14:textId="77777777" w:rsidR="00A525CF" w:rsidRPr="00B059E0" w:rsidRDefault="00A525CF" w:rsidP="002272BE">
            <w:pPr>
              <w:pStyle w:val="Correspondencedetails"/>
              <w:spacing w:before="0" w:line="240" w:lineRule="auto"/>
              <w:jc w:val="both"/>
              <w:rPr>
                <w:color w:val="000000"/>
              </w:rPr>
            </w:pPr>
            <w:r w:rsidRPr="00B059E0">
              <w:t>1</w:t>
            </w:r>
          </w:p>
        </w:tc>
        <w:tc>
          <w:tcPr>
            <w:tcW w:w="2964" w:type="dxa"/>
            <w:tcBorders>
              <w:top w:val="single" w:sz="4" w:space="0" w:color="auto"/>
              <w:left w:val="nil"/>
              <w:bottom w:val="nil"/>
              <w:right w:val="nil"/>
            </w:tcBorders>
            <w:shd w:val="clear" w:color="auto" w:fill="auto"/>
            <w:vAlign w:val="center"/>
            <w:hideMark/>
          </w:tcPr>
          <w:p w14:paraId="54E7DCDE" w14:textId="77777777" w:rsidR="00A525CF" w:rsidRPr="00B059E0" w:rsidRDefault="00A525CF" w:rsidP="002272BE">
            <w:pPr>
              <w:pStyle w:val="Correspondencedetails"/>
              <w:spacing w:before="0" w:line="240" w:lineRule="auto"/>
              <w:rPr>
                <w:color w:val="000000"/>
              </w:rPr>
            </w:pPr>
            <w:r w:rsidRPr="00B059E0">
              <w:rPr>
                <w:color w:val="000000"/>
              </w:rPr>
              <w:t>Dificultades Visuales</w:t>
            </w:r>
          </w:p>
        </w:tc>
        <w:tc>
          <w:tcPr>
            <w:tcW w:w="1276" w:type="dxa"/>
            <w:tcBorders>
              <w:top w:val="single" w:sz="4" w:space="0" w:color="auto"/>
              <w:left w:val="nil"/>
              <w:bottom w:val="nil"/>
              <w:right w:val="nil"/>
            </w:tcBorders>
            <w:shd w:val="clear" w:color="auto" w:fill="auto"/>
            <w:vAlign w:val="center"/>
            <w:hideMark/>
          </w:tcPr>
          <w:p w14:paraId="5E111BCB" w14:textId="77777777" w:rsidR="00A525CF" w:rsidRPr="00B059E0" w:rsidRDefault="00A525CF" w:rsidP="002272BE">
            <w:pPr>
              <w:pStyle w:val="Correspondencedetails"/>
              <w:spacing w:before="0" w:line="240" w:lineRule="auto"/>
              <w:jc w:val="center"/>
              <w:rPr>
                <w:color w:val="000000"/>
              </w:rPr>
            </w:pPr>
            <w:r w:rsidRPr="00B059E0">
              <w:rPr>
                <w:color w:val="000000"/>
              </w:rPr>
              <w:t>46.96</w:t>
            </w:r>
          </w:p>
          <w:p w14:paraId="51643135" w14:textId="77777777" w:rsidR="00A525CF" w:rsidRPr="00B059E0" w:rsidRDefault="00A525CF" w:rsidP="002272BE">
            <w:pPr>
              <w:pStyle w:val="Correspondencedetails"/>
              <w:spacing w:before="0" w:line="240" w:lineRule="auto"/>
              <w:jc w:val="center"/>
              <w:rPr>
                <w:color w:val="000000"/>
              </w:rPr>
            </w:pPr>
            <w:r w:rsidRPr="00B059E0">
              <w:rPr>
                <w:color w:val="000000"/>
              </w:rPr>
              <w:t>(9.7)</w:t>
            </w:r>
          </w:p>
        </w:tc>
        <w:tc>
          <w:tcPr>
            <w:tcW w:w="1276" w:type="dxa"/>
            <w:tcBorders>
              <w:top w:val="single" w:sz="4" w:space="0" w:color="auto"/>
              <w:left w:val="nil"/>
              <w:bottom w:val="nil"/>
              <w:right w:val="nil"/>
            </w:tcBorders>
            <w:shd w:val="clear" w:color="auto" w:fill="auto"/>
            <w:vAlign w:val="center"/>
            <w:hideMark/>
          </w:tcPr>
          <w:p w14:paraId="0BC09EC4" w14:textId="77777777" w:rsidR="00A525CF" w:rsidRPr="00B059E0" w:rsidRDefault="00A525CF" w:rsidP="002272BE">
            <w:pPr>
              <w:pStyle w:val="Correspondencedetails"/>
              <w:spacing w:before="0" w:line="240" w:lineRule="auto"/>
              <w:jc w:val="center"/>
              <w:rPr>
                <w:color w:val="000000"/>
              </w:rPr>
            </w:pPr>
            <w:r w:rsidRPr="00B059E0">
              <w:rPr>
                <w:color w:val="000000"/>
              </w:rPr>
              <w:t>26.49</w:t>
            </w:r>
          </w:p>
          <w:p w14:paraId="779776E1" w14:textId="77777777" w:rsidR="00A525CF" w:rsidRPr="00B059E0" w:rsidRDefault="00A525CF" w:rsidP="002272BE">
            <w:pPr>
              <w:pStyle w:val="Correspondencedetails"/>
              <w:spacing w:before="0" w:line="240" w:lineRule="auto"/>
              <w:jc w:val="center"/>
              <w:rPr>
                <w:color w:val="000000"/>
              </w:rPr>
            </w:pPr>
            <w:r w:rsidRPr="00B059E0">
              <w:rPr>
                <w:color w:val="000000"/>
              </w:rPr>
              <w:t>(6.03)</w:t>
            </w:r>
          </w:p>
        </w:tc>
        <w:tc>
          <w:tcPr>
            <w:tcW w:w="1276" w:type="dxa"/>
            <w:tcBorders>
              <w:top w:val="single" w:sz="4" w:space="0" w:color="auto"/>
              <w:left w:val="nil"/>
              <w:bottom w:val="nil"/>
              <w:right w:val="nil"/>
            </w:tcBorders>
            <w:shd w:val="clear" w:color="auto" w:fill="auto"/>
            <w:noWrap/>
            <w:vAlign w:val="center"/>
            <w:hideMark/>
          </w:tcPr>
          <w:p w14:paraId="08B87FFE" w14:textId="77777777" w:rsidR="00A525CF" w:rsidRPr="00B059E0" w:rsidRDefault="00A525CF" w:rsidP="002272BE">
            <w:pPr>
              <w:pStyle w:val="Correspondencedetails"/>
              <w:spacing w:before="0" w:line="240" w:lineRule="auto"/>
              <w:jc w:val="center"/>
              <w:rPr>
                <w:color w:val="000000"/>
              </w:rPr>
            </w:pPr>
            <w:r w:rsidRPr="00B059E0">
              <w:rPr>
                <w:color w:val="000000"/>
              </w:rPr>
              <w:t>.001**</w:t>
            </w:r>
          </w:p>
        </w:tc>
        <w:tc>
          <w:tcPr>
            <w:tcW w:w="1041" w:type="dxa"/>
            <w:tcBorders>
              <w:top w:val="single" w:sz="4" w:space="0" w:color="auto"/>
              <w:left w:val="nil"/>
              <w:bottom w:val="nil"/>
              <w:right w:val="nil"/>
            </w:tcBorders>
            <w:shd w:val="clear" w:color="auto" w:fill="auto"/>
            <w:noWrap/>
            <w:vAlign w:val="center"/>
            <w:hideMark/>
          </w:tcPr>
          <w:p w14:paraId="2912D644" w14:textId="77777777" w:rsidR="00A525CF" w:rsidRPr="00B059E0" w:rsidRDefault="00A525CF" w:rsidP="002272BE">
            <w:pPr>
              <w:pStyle w:val="Correspondencedetails"/>
              <w:spacing w:before="0" w:line="240" w:lineRule="auto"/>
              <w:jc w:val="center"/>
              <w:rPr>
                <w:color w:val="000000"/>
              </w:rPr>
            </w:pPr>
            <w:r w:rsidRPr="00B059E0">
              <w:rPr>
                <w:color w:val="000000"/>
              </w:rPr>
              <w:t>2.53</w:t>
            </w:r>
          </w:p>
        </w:tc>
      </w:tr>
      <w:tr w:rsidR="00A525CF" w:rsidRPr="00B059E0" w14:paraId="384BB23C" w14:textId="77777777" w:rsidTr="002272BE">
        <w:trPr>
          <w:trHeight w:val="450"/>
        </w:trPr>
        <w:tc>
          <w:tcPr>
            <w:tcW w:w="1005" w:type="dxa"/>
            <w:vMerge/>
            <w:tcBorders>
              <w:bottom w:val="single" w:sz="4" w:space="0" w:color="auto"/>
            </w:tcBorders>
            <w:vAlign w:val="center"/>
            <w:hideMark/>
          </w:tcPr>
          <w:p w14:paraId="2EC479AE" w14:textId="77777777" w:rsidR="00A525CF" w:rsidRPr="00B059E0" w:rsidRDefault="00A525CF" w:rsidP="002272BE">
            <w:pPr>
              <w:pStyle w:val="Correspondencedetails"/>
              <w:spacing w:before="0" w:line="240" w:lineRule="auto"/>
              <w:jc w:val="both"/>
              <w:rPr>
                <w:color w:val="000000"/>
              </w:rPr>
            </w:pPr>
          </w:p>
        </w:tc>
        <w:tc>
          <w:tcPr>
            <w:tcW w:w="2964" w:type="dxa"/>
            <w:tcBorders>
              <w:top w:val="nil"/>
              <w:left w:val="nil"/>
              <w:bottom w:val="single" w:sz="4" w:space="0" w:color="auto"/>
              <w:right w:val="nil"/>
            </w:tcBorders>
            <w:shd w:val="clear" w:color="auto" w:fill="auto"/>
            <w:vAlign w:val="center"/>
            <w:hideMark/>
          </w:tcPr>
          <w:p w14:paraId="427CD0BE" w14:textId="77777777" w:rsidR="00A525CF" w:rsidRPr="00B059E0" w:rsidRDefault="00A525CF" w:rsidP="002272BE">
            <w:pPr>
              <w:pStyle w:val="Correspondencedetails"/>
              <w:spacing w:before="0" w:line="240" w:lineRule="auto"/>
              <w:rPr>
                <w:color w:val="000000"/>
              </w:rPr>
            </w:pPr>
            <w:r w:rsidRPr="00B059E0">
              <w:rPr>
                <w:color w:val="000000"/>
              </w:rPr>
              <w:t>Malestares Visuales</w:t>
            </w:r>
          </w:p>
        </w:tc>
        <w:tc>
          <w:tcPr>
            <w:tcW w:w="1276" w:type="dxa"/>
            <w:tcBorders>
              <w:top w:val="nil"/>
              <w:left w:val="nil"/>
              <w:bottom w:val="single" w:sz="4" w:space="0" w:color="auto"/>
              <w:right w:val="nil"/>
            </w:tcBorders>
            <w:shd w:val="clear" w:color="auto" w:fill="auto"/>
            <w:vAlign w:val="center"/>
            <w:hideMark/>
          </w:tcPr>
          <w:p w14:paraId="4960DC45" w14:textId="77777777" w:rsidR="00A525CF" w:rsidRPr="00B059E0" w:rsidRDefault="00A525CF" w:rsidP="002272BE">
            <w:pPr>
              <w:pStyle w:val="Correspondencedetails"/>
              <w:spacing w:before="0" w:line="240" w:lineRule="auto"/>
              <w:jc w:val="center"/>
              <w:rPr>
                <w:color w:val="000000"/>
              </w:rPr>
            </w:pPr>
            <w:r w:rsidRPr="00B059E0">
              <w:rPr>
                <w:color w:val="000000"/>
              </w:rPr>
              <w:t>35.27</w:t>
            </w:r>
          </w:p>
          <w:p w14:paraId="23EF1557" w14:textId="77777777" w:rsidR="00A525CF" w:rsidRPr="00B059E0" w:rsidRDefault="00A525CF" w:rsidP="002272BE">
            <w:pPr>
              <w:pStyle w:val="Correspondencedetails"/>
              <w:spacing w:before="0" w:line="240" w:lineRule="auto"/>
              <w:jc w:val="center"/>
              <w:rPr>
                <w:color w:val="000000"/>
              </w:rPr>
            </w:pPr>
            <w:r w:rsidRPr="00B059E0">
              <w:rPr>
                <w:color w:val="000000"/>
              </w:rPr>
              <w:t>(9.12)</w:t>
            </w:r>
          </w:p>
        </w:tc>
        <w:tc>
          <w:tcPr>
            <w:tcW w:w="1276" w:type="dxa"/>
            <w:tcBorders>
              <w:top w:val="nil"/>
              <w:left w:val="nil"/>
              <w:bottom w:val="single" w:sz="4" w:space="0" w:color="auto"/>
              <w:right w:val="nil"/>
            </w:tcBorders>
            <w:shd w:val="clear" w:color="auto" w:fill="auto"/>
            <w:vAlign w:val="center"/>
            <w:hideMark/>
          </w:tcPr>
          <w:p w14:paraId="26126F04" w14:textId="77777777" w:rsidR="00A525CF" w:rsidRPr="00B059E0" w:rsidRDefault="00A525CF" w:rsidP="002272BE">
            <w:pPr>
              <w:pStyle w:val="Correspondencedetails"/>
              <w:spacing w:before="0" w:line="240" w:lineRule="auto"/>
              <w:jc w:val="center"/>
              <w:rPr>
                <w:color w:val="000000"/>
              </w:rPr>
            </w:pPr>
            <w:r w:rsidRPr="00B059E0">
              <w:rPr>
                <w:color w:val="000000"/>
              </w:rPr>
              <w:t>22.29</w:t>
            </w:r>
          </w:p>
          <w:p w14:paraId="2C39C013" w14:textId="77777777" w:rsidR="00A525CF" w:rsidRPr="00B059E0" w:rsidRDefault="00A525CF" w:rsidP="002272BE">
            <w:pPr>
              <w:pStyle w:val="Correspondencedetails"/>
              <w:spacing w:before="0" w:line="240" w:lineRule="auto"/>
              <w:jc w:val="center"/>
              <w:rPr>
                <w:color w:val="000000"/>
              </w:rPr>
            </w:pPr>
            <w:r w:rsidRPr="00B059E0">
              <w:rPr>
                <w:color w:val="000000"/>
              </w:rPr>
              <w:t>(4.5)</w:t>
            </w:r>
          </w:p>
        </w:tc>
        <w:tc>
          <w:tcPr>
            <w:tcW w:w="1276" w:type="dxa"/>
            <w:tcBorders>
              <w:top w:val="nil"/>
              <w:left w:val="nil"/>
              <w:bottom w:val="single" w:sz="4" w:space="0" w:color="auto"/>
              <w:right w:val="nil"/>
            </w:tcBorders>
            <w:shd w:val="clear" w:color="auto" w:fill="auto"/>
            <w:noWrap/>
            <w:vAlign w:val="center"/>
            <w:hideMark/>
          </w:tcPr>
          <w:p w14:paraId="3E8A67A7" w14:textId="77777777" w:rsidR="00A525CF" w:rsidRPr="00B059E0" w:rsidRDefault="00A525CF" w:rsidP="002272BE">
            <w:pPr>
              <w:pStyle w:val="Correspondencedetails"/>
              <w:spacing w:before="0" w:line="240" w:lineRule="auto"/>
              <w:jc w:val="center"/>
              <w:rPr>
                <w:color w:val="000000"/>
              </w:rPr>
            </w:pPr>
            <w:r w:rsidRPr="00B059E0">
              <w:rPr>
                <w:color w:val="000000"/>
              </w:rPr>
              <w:t>.001**</w:t>
            </w:r>
          </w:p>
        </w:tc>
        <w:tc>
          <w:tcPr>
            <w:tcW w:w="1041" w:type="dxa"/>
            <w:tcBorders>
              <w:top w:val="nil"/>
              <w:left w:val="nil"/>
              <w:bottom w:val="single" w:sz="4" w:space="0" w:color="auto"/>
              <w:right w:val="nil"/>
            </w:tcBorders>
            <w:shd w:val="clear" w:color="auto" w:fill="auto"/>
            <w:noWrap/>
            <w:vAlign w:val="center"/>
            <w:hideMark/>
          </w:tcPr>
          <w:p w14:paraId="5EB747D5" w14:textId="77777777" w:rsidR="00A525CF" w:rsidRPr="00B059E0" w:rsidRDefault="00A525CF" w:rsidP="002272BE">
            <w:pPr>
              <w:pStyle w:val="Correspondencedetails"/>
              <w:spacing w:before="0" w:line="240" w:lineRule="auto"/>
              <w:jc w:val="center"/>
              <w:rPr>
                <w:color w:val="000000"/>
              </w:rPr>
            </w:pPr>
            <w:r w:rsidRPr="00B059E0">
              <w:rPr>
                <w:color w:val="000000"/>
              </w:rPr>
              <w:t>1.81</w:t>
            </w:r>
          </w:p>
        </w:tc>
      </w:tr>
      <w:tr w:rsidR="00A525CF" w:rsidRPr="00B059E0" w14:paraId="74D99FEE" w14:textId="77777777" w:rsidTr="002272BE">
        <w:trPr>
          <w:trHeight w:val="567"/>
        </w:trPr>
        <w:tc>
          <w:tcPr>
            <w:tcW w:w="1005" w:type="dxa"/>
            <w:vMerge w:val="restart"/>
            <w:tcBorders>
              <w:top w:val="single" w:sz="4" w:space="0" w:color="auto"/>
              <w:left w:val="nil"/>
              <w:bottom w:val="nil"/>
              <w:right w:val="nil"/>
            </w:tcBorders>
            <w:shd w:val="clear" w:color="auto" w:fill="auto"/>
            <w:noWrap/>
            <w:vAlign w:val="center"/>
            <w:hideMark/>
          </w:tcPr>
          <w:p w14:paraId="4B018B4D" w14:textId="77777777" w:rsidR="00A525CF" w:rsidRPr="00B059E0" w:rsidRDefault="00A525CF" w:rsidP="002272BE">
            <w:pPr>
              <w:pStyle w:val="Correspondencedetails"/>
              <w:spacing w:before="0" w:line="240" w:lineRule="auto"/>
              <w:jc w:val="both"/>
              <w:rPr>
                <w:color w:val="000000"/>
              </w:rPr>
            </w:pPr>
            <w:r w:rsidRPr="00B059E0">
              <w:t>2</w:t>
            </w:r>
          </w:p>
        </w:tc>
        <w:tc>
          <w:tcPr>
            <w:tcW w:w="2964" w:type="dxa"/>
            <w:tcBorders>
              <w:top w:val="single" w:sz="4" w:space="0" w:color="auto"/>
              <w:left w:val="nil"/>
              <w:bottom w:val="nil"/>
              <w:right w:val="nil"/>
            </w:tcBorders>
            <w:shd w:val="clear" w:color="auto" w:fill="auto"/>
            <w:vAlign w:val="center"/>
            <w:hideMark/>
          </w:tcPr>
          <w:p w14:paraId="1549EB35" w14:textId="77777777" w:rsidR="00A525CF" w:rsidRPr="00B059E0" w:rsidRDefault="00A525CF" w:rsidP="002272BE">
            <w:pPr>
              <w:pStyle w:val="Correspondencedetails"/>
              <w:spacing w:before="0" w:line="240" w:lineRule="auto"/>
              <w:rPr>
                <w:color w:val="000000"/>
              </w:rPr>
            </w:pPr>
            <w:r w:rsidRPr="00B059E0">
              <w:rPr>
                <w:color w:val="000000"/>
              </w:rPr>
              <w:t>Alteraciones en el Cubo A</w:t>
            </w:r>
          </w:p>
        </w:tc>
        <w:tc>
          <w:tcPr>
            <w:tcW w:w="1276" w:type="dxa"/>
            <w:tcBorders>
              <w:top w:val="single" w:sz="4" w:space="0" w:color="auto"/>
              <w:left w:val="nil"/>
              <w:bottom w:val="nil"/>
              <w:right w:val="nil"/>
            </w:tcBorders>
            <w:shd w:val="clear" w:color="auto" w:fill="auto"/>
            <w:vAlign w:val="center"/>
            <w:hideMark/>
          </w:tcPr>
          <w:p w14:paraId="4FD108C0" w14:textId="77777777" w:rsidR="00A525CF" w:rsidRPr="00B059E0" w:rsidRDefault="00A525CF" w:rsidP="002272BE">
            <w:pPr>
              <w:pStyle w:val="Correspondencedetails"/>
              <w:spacing w:before="0" w:line="240" w:lineRule="auto"/>
              <w:jc w:val="center"/>
              <w:rPr>
                <w:color w:val="000000"/>
              </w:rPr>
            </w:pPr>
            <w:r w:rsidRPr="00B059E0">
              <w:rPr>
                <w:color w:val="000000"/>
              </w:rPr>
              <w:t>7.29</w:t>
            </w:r>
          </w:p>
          <w:p w14:paraId="214985F1" w14:textId="77777777" w:rsidR="00A525CF" w:rsidRPr="00B059E0" w:rsidRDefault="00A525CF" w:rsidP="002272BE">
            <w:pPr>
              <w:pStyle w:val="Correspondencedetails"/>
              <w:spacing w:before="0" w:line="240" w:lineRule="auto"/>
              <w:jc w:val="center"/>
              <w:rPr>
                <w:color w:val="000000"/>
              </w:rPr>
            </w:pPr>
            <w:r w:rsidRPr="00B059E0">
              <w:rPr>
                <w:color w:val="000000"/>
              </w:rPr>
              <w:t>(4.17)</w:t>
            </w:r>
          </w:p>
        </w:tc>
        <w:tc>
          <w:tcPr>
            <w:tcW w:w="1276" w:type="dxa"/>
            <w:tcBorders>
              <w:top w:val="single" w:sz="4" w:space="0" w:color="auto"/>
              <w:left w:val="nil"/>
              <w:bottom w:val="nil"/>
              <w:right w:val="nil"/>
            </w:tcBorders>
            <w:shd w:val="clear" w:color="auto" w:fill="auto"/>
            <w:vAlign w:val="center"/>
            <w:hideMark/>
          </w:tcPr>
          <w:p w14:paraId="1CA44060" w14:textId="77777777" w:rsidR="00A525CF" w:rsidRPr="00B059E0" w:rsidRDefault="00A525CF" w:rsidP="002272BE">
            <w:pPr>
              <w:pStyle w:val="Correspondencedetails"/>
              <w:spacing w:before="0" w:line="240" w:lineRule="auto"/>
              <w:jc w:val="center"/>
              <w:rPr>
                <w:color w:val="000000"/>
              </w:rPr>
            </w:pPr>
            <w:r w:rsidRPr="00B059E0">
              <w:rPr>
                <w:color w:val="000000"/>
              </w:rPr>
              <w:t>2.55</w:t>
            </w:r>
          </w:p>
          <w:p w14:paraId="644663D6" w14:textId="77777777" w:rsidR="00A525CF" w:rsidRPr="00B059E0" w:rsidRDefault="00A525CF" w:rsidP="002272BE">
            <w:pPr>
              <w:pStyle w:val="Correspondencedetails"/>
              <w:spacing w:before="0" w:line="240" w:lineRule="auto"/>
              <w:jc w:val="center"/>
              <w:rPr>
                <w:color w:val="000000"/>
              </w:rPr>
            </w:pPr>
            <w:r w:rsidRPr="00B059E0">
              <w:rPr>
                <w:color w:val="000000"/>
              </w:rPr>
              <w:t>(2.4)</w:t>
            </w:r>
          </w:p>
        </w:tc>
        <w:tc>
          <w:tcPr>
            <w:tcW w:w="1276" w:type="dxa"/>
            <w:tcBorders>
              <w:top w:val="single" w:sz="4" w:space="0" w:color="auto"/>
              <w:left w:val="nil"/>
              <w:bottom w:val="nil"/>
              <w:right w:val="nil"/>
            </w:tcBorders>
            <w:shd w:val="clear" w:color="auto" w:fill="auto"/>
            <w:noWrap/>
            <w:vAlign w:val="center"/>
            <w:hideMark/>
          </w:tcPr>
          <w:p w14:paraId="7B70F516" w14:textId="77777777" w:rsidR="00A525CF" w:rsidRPr="00B059E0" w:rsidRDefault="00A525CF" w:rsidP="002272BE">
            <w:pPr>
              <w:pStyle w:val="Correspondencedetails"/>
              <w:spacing w:before="0" w:line="240" w:lineRule="auto"/>
              <w:jc w:val="center"/>
              <w:rPr>
                <w:color w:val="000000"/>
              </w:rPr>
            </w:pPr>
            <w:r w:rsidRPr="00B059E0">
              <w:rPr>
                <w:color w:val="000000"/>
              </w:rPr>
              <w:t>.001**</w:t>
            </w:r>
          </w:p>
        </w:tc>
        <w:tc>
          <w:tcPr>
            <w:tcW w:w="1041" w:type="dxa"/>
            <w:tcBorders>
              <w:top w:val="single" w:sz="4" w:space="0" w:color="auto"/>
              <w:left w:val="nil"/>
              <w:bottom w:val="nil"/>
              <w:right w:val="nil"/>
            </w:tcBorders>
            <w:shd w:val="clear" w:color="auto" w:fill="auto"/>
            <w:noWrap/>
            <w:vAlign w:val="center"/>
            <w:hideMark/>
          </w:tcPr>
          <w:p w14:paraId="37773FDC" w14:textId="77777777" w:rsidR="00A525CF" w:rsidRPr="00B059E0" w:rsidRDefault="00A525CF" w:rsidP="002272BE">
            <w:pPr>
              <w:pStyle w:val="Correspondencedetails"/>
              <w:spacing w:before="0" w:line="240" w:lineRule="auto"/>
              <w:jc w:val="center"/>
              <w:rPr>
                <w:color w:val="000000"/>
              </w:rPr>
            </w:pPr>
            <w:r w:rsidRPr="00B059E0">
              <w:rPr>
                <w:color w:val="000000"/>
              </w:rPr>
              <w:t>1.39</w:t>
            </w:r>
          </w:p>
        </w:tc>
      </w:tr>
      <w:tr w:rsidR="00A525CF" w:rsidRPr="00B059E0" w14:paraId="50B053BA" w14:textId="77777777" w:rsidTr="002272BE">
        <w:trPr>
          <w:trHeight w:val="450"/>
        </w:trPr>
        <w:tc>
          <w:tcPr>
            <w:tcW w:w="1005" w:type="dxa"/>
            <w:vMerge/>
            <w:vAlign w:val="center"/>
            <w:hideMark/>
          </w:tcPr>
          <w:p w14:paraId="5BD95277" w14:textId="77777777" w:rsidR="00A525CF" w:rsidRPr="00B059E0" w:rsidRDefault="00A525CF" w:rsidP="002272BE">
            <w:pPr>
              <w:pStyle w:val="Correspondencedetails"/>
              <w:spacing w:before="0" w:line="240" w:lineRule="auto"/>
              <w:jc w:val="both"/>
              <w:rPr>
                <w:color w:val="000000"/>
              </w:rPr>
            </w:pPr>
          </w:p>
        </w:tc>
        <w:tc>
          <w:tcPr>
            <w:tcW w:w="2964" w:type="dxa"/>
            <w:tcBorders>
              <w:top w:val="nil"/>
              <w:left w:val="nil"/>
              <w:bottom w:val="nil"/>
              <w:right w:val="nil"/>
            </w:tcBorders>
            <w:shd w:val="clear" w:color="auto" w:fill="auto"/>
            <w:vAlign w:val="center"/>
            <w:hideMark/>
          </w:tcPr>
          <w:p w14:paraId="3B3D7360" w14:textId="77777777" w:rsidR="00A525CF" w:rsidRPr="00B059E0" w:rsidRDefault="00A525CF" w:rsidP="002272BE">
            <w:pPr>
              <w:pStyle w:val="Correspondencedetails"/>
              <w:spacing w:before="0" w:line="240" w:lineRule="auto"/>
              <w:rPr>
                <w:color w:val="000000"/>
              </w:rPr>
            </w:pPr>
            <w:r w:rsidRPr="00B059E0">
              <w:rPr>
                <w:color w:val="000000"/>
              </w:rPr>
              <w:t>Alteraciones en el Cubo B</w:t>
            </w:r>
          </w:p>
        </w:tc>
        <w:tc>
          <w:tcPr>
            <w:tcW w:w="1276" w:type="dxa"/>
            <w:tcBorders>
              <w:top w:val="nil"/>
              <w:left w:val="nil"/>
              <w:bottom w:val="nil"/>
              <w:right w:val="nil"/>
            </w:tcBorders>
            <w:shd w:val="clear" w:color="auto" w:fill="auto"/>
            <w:vAlign w:val="center"/>
            <w:hideMark/>
          </w:tcPr>
          <w:p w14:paraId="3F80030A" w14:textId="77777777" w:rsidR="00A525CF" w:rsidRPr="00B059E0" w:rsidRDefault="00A525CF" w:rsidP="002272BE">
            <w:pPr>
              <w:pStyle w:val="Correspondencedetails"/>
              <w:spacing w:before="0" w:line="240" w:lineRule="auto"/>
              <w:jc w:val="center"/>
              <w:rPr>
                <w:color w:val="000000"/>
              </w:rPr>
            </w:pPr>
            <w:r w:rsidRPr="00B059E0">
              <w:rPr>
                <w:color w:val="000000"/>
              </w:rPr>
              <w:t>9.25</w:t>
            </w:r>
          </w:p>
          <w:p w14:paraId="2D017651" w14:textId="77777777" w:rsidR="00A525CF" w:rsidRPr="00B059E0" w:rsidRDefault="00A525CF" w:rsidP="002272BE">
            <w:pPr>
              <w:pStyle w:val="Correspondencedetails"/>
              <w:spacing w:before="0" w:line="240" w:lineRule="auto"/>
              <w:jc w:val="center"/>
              <w:rPr>
                <w:color w:val="000000"/>
              </w:rPr>
            </w:pPr>
            <w:r w:rsidRPr="00B059E0">
              <w:rPr>
                <w:color w:val="000000"/>
              </w:rPr>
              <w:t>(3.81)</w:t>
            </w:r>
          </w:p>
        </w:tc>
        <w:tc>
          <w:tcPr>
            <w:tcW w:w="1276" w:type="dxa"/>
            <w:tcBorders>
              <w:top w:val="nil"/>
              <w:left w:val="nil"/>
              <w:bottom w:val="nil"/>
              <w:right w:val="nil"/>
            </w:tcBorders>
            <w:shd w:val="clear" w:color="auto" w:fill="auto"/>
            <w:vAlign w:val="center"/>
            <w:hideMark/>
          </w:tcPr>
          <w:p w14:paraId="2C24D98B" w14:textId="77777777" w:rsidR="00A525CF" w:rsidRPr="00B059E0" w:rsidRDefault="00A525CF" w:rsidP="002272BE">
            <w:pPr>
              <w:pStyle w:val="Correspondencedetails"/>
              <w:spacing w:before="0" w:line="240" w:lineRule="auto"/>
              <w:jc w:val="center"/>
              <w:rPr>
                <w:color w:val="000000"/>
              </w:rPr>
            </w:pPr>
            <w:r w:rsidRPr="00B059E0">
              <w:rPr>
                <w:color w:val="000000"/>
              </w:rPr>
              <w:t>4.07</w:t>
            </w:r>
          </w:p>
          <w:p w14:paraId="1CBA745A" w14:textId="77777777" w:rsidR="00A525CF" w:rsidRPr="00B059E0" w:rsidRDefault="00A525CF" w:rsidP="002272BE">
            <w:pPr>
              <w:pStyle w:val="Correspondencedetails"/>
              <w:spacing w:before="0" w:line="240" w:lineRule="auto"/>
              <w:jc w:val="center"/>
              <w:rPr>
                <w:color w:val="000000"/>
              </w:rPr>
            </w:pPr>
            <w:r w:rsidRPr="00B059E0">
              <w:rPr>
                <w:color w:val="000000"/>
              </w:rPr>
              <w:t>(2.79)</w:t>
            </w:r>
          </w:p>
        </w:tc>
        <w:tc>
          <w:tcPr>
            <w:tcW w:w="1276" w:type="dxa"/>
            <w:tcBorders>
              <w:top w:val="nil"/>
              <w:left w:val="nil"/>
              <w:bottom w:val="nil"/>
              <w:right w:val="nil"/>
            </w:tcBorders>
            <w:shd w:val="clear" w:color="auto" w:fill="auto"/>
            <w:noWrap/>
            <w:vAlign w:val="center"/>
            <w:hideMark/>
          </w:tcPr>
          <w:p w14:paraId="380E65C8" w14:textId="77777777" w:rsidR="00A525CF" w:rsidRPr="00B059E0" w:rsidRDefault="00A525CF" w:rsidP="002272BE">
            <w:pPr>
              <w:pStyle w:val="Correspondencedetails"/>
              <w:spacing w:before="0" w:line="240" w:lineRule="auto"/>
              <w:jc w:val="center"/>
              <w:rPr>
                <w:color w:val="000000"/>
              </w:rPr>
            </w:pPr>
            <w:r w:rsidRPr="00B059E0">
              <w:rPr>
                <w:color w:val="000000"/>
              </w:rPr>
              <w:t>.001**</w:t>
            </w:r>
          </w:p>
        </w:tc>
        <w:tc>
          <w:tcPr>
            <w:tcW w:w="1041" w:type="dxa"/>
            <w:tcBorders>
              <w:top w:val="nil"/>
              <w:left w:val="nil"/>
              <w:bottom w:val="nil"/>
              <w:right w:val="nil"/>
            </w:tcBorders>
            <w:shd w:val="clear" w:color="auto" w:fill="auto"/>
            <w:noWrap/>
            <w:vAlign w:val="center"/>
            <w:hideMark/>
          </w:tcPr>
          <w:p w14:paraId="1B636F44" w14:textId="77777777" w:rsidR="00A525CF" w:rsidRPr="00B059E0" w:rsidRDefault="00A525CF" w:rsidP="002272BE">
            <w:pPr>
              <w:pStyle w:val="Correspondencedetails"/>
              <w:spacing w:before="0" w:line="240" w:lineRule="auto"/>
              <w:jc w:val="center"/>
              <w:rPr>
                <w:color w:val="000000"/>
              </w:rPr>
            </w:pPr>
            <w:r w:rsidRPr="00B059E0">
              <w:rPr>
                <w:color w:val="000000"/>
              </w:rPr>
              <w:t>1.55</w:t>
            </w:r>
          </w:p>
        </w:tc>
      </w:tr>
      <w:tr w:rsidR="00A525CF" w:rsidRPr="00B059E0" w14:paraId="5AEC2A2C" w14:textId="77777777" w:rsidTr="002272BE">
        <w:trPr>
          <w:trHeight w:val="450"/>
        </w:trPr>
        <w:tc>
          <w:tcPr>
            <w:tcW w:w="1005" w:type="dxa"/>
            <w:vMerge/>
            <w:vAlign w:val="center"/>
            <w:hideMark/>
          </w:tcPr>
          <w:p w14:paraId="1788E01D" w14:textId="77777777" w:rsidR="00A525CF" w:rsidRPr="00B059E0" w:rsidRDefault="00A525CF" w:rsidP="002272BE">
            <w:pPr>
              <w:pStyle w:val="Correspondencedetails"/>
              <w:spacing w:before="0" w:line="240" w:lineRule="auto"/>
              <w:jc w:val="both"/>
              <w:rPr>
                <w:color w:val="000000"/>
              </w:rPr>
            </w:pPr>
          </w:p>
        </w:tc>
        <w:tc>
          <w:tcPr>
            <w:tcW w:w="2964" w:type="dxa"/>
            <w:tcBorders>
              <w:top w:val="nil"/>
              <w:left w:val="nil"/>
              <w:bottom w:val="single" w:sz="4" w:space="0" w:color="auto"/>
              <w:right w:val="nil"/>
            </w:tcBorders>
            <w:shd w:val="clear" w:color="auto" w:fill="auto"/>
            <w:vAlign w:val="center"/>
            <w:hideMark/>
          </w:tcPr>
          <w:p w14:paraId="790A6E55" w14:textId="77777777" w:rsidR="00A525CF" w:rsidRPr="00B059E0" w:rsidRDefault="00A525CF" w:rsidP="002272BE">
            <w:pPr>
              <w:pStyle w:val="Correspondencedetails"/>
              <w:spacing w:before="0" w:line="240" w:lineRule="auto"/>
              <w:rPr>
                <w:color w:val="000000"/>
              </w:rPr>
            </w:pPr>
            <w:r w:rsidRPr="00B059E0">
              <w:t>Alteraciones en Calabaza</w:t>
            </w:r>
          </w:p>
        </w:tc>
        <w:tc>
          <w:tcPr>
            <w:tcW w:w="1276" w:type="dxa"/>
            <w:tcBorders>
              <w:top w:val="nil"/>
              <w:left w:val="nil"/>
              <w:bottom w:val="single" w:sz="4" w:space="0" w:color="auto"/>
              <w:right w:val="nil"/>
            </w:tcBorders>
            <w:shd w:val="clear" w:color="auto" w:fill="auto"/>
            <w:vAlign w:val="center"/>
            <w:hideMark/>
          </w:tcPr>
          <w:p w14:paraId="20379CC1" w14:textId="77777777" w:rsidR="00A525CF" w:rsidRPr="00B059E0" w:rsidRDefault="00A525CF" w:rsidP="002272BE">
            <w:pPr>
              <w:pStyle w:val="Correspondencedetails"/>
              <w:spacing w:before="0" w:line="240" w:lineRule="auto"/>
              <w:jc w:val="center"/>
              <w:rPr>
                <w:color w:val="000000"/>
              </w:rPr>
            </w:pPr>
            <w:r w:rsidRPr="00B059E0">
              <w:rPr>
                <w:color w:val="000000"/>
              </w:rPr>
              <w:t>8.49</w:t>
            </w:r>
          </w:p>
          <w:p w14:paraId="108564EB" w14:textId="77777777" w:rsidR="00A525CF" w:rsidRPr="00B059E0" w:rsidRDefault="00A525CF" w:rsidP="002272BE">
            <w:pPr>
              <w:pStyle w:val="Correspondencedetails"/>
              <w:spacing w:before="0" w:line="240" w:lineRule="auto"/>
              <w:jc w:val="center"/>
              <w:rPr>
                <w:color w:val="000000"/>
              </w:rPr>
            </w:pPr>
            <w:r w:rsidRPr="00B059E0">
              <w:rPr>
                <w:color w:val="000000"/>
              </w:rPr>
              <w:t>(4.29)</w:t>
            </w:r>
          </w:p>
        </w:tc>
        <w:tc>
          <w:tcPr>
            <w:tcW w:w="1276" w:type="dxa"/>
            <w:tcBorders>
              <w:top w:val="nil"/>
              <w:left w:val="nil"/>
              <w:bottom w:val="single" w:sz="4" w:space="0" w:color="auto"/>
              <w:right w:val="nil"/>
            </w:tcBorders>
            <w:shd w:val="clear" w:color="auto" w:fill="auto"/>
            <w:vAlign w:val="center"/>
            <w:hideMark/>
          </w:tcPr>
          <w:p w14:paraId="687D45D0" w14:textId="77777777" w:rsidR="00A525CF" w:rsidRPr="00B059E0" w:rsidRDefault="00A525CF" w:rsidP="002272BE">
            <w:pPr>
              <w:pStyle w:val="Correspondencedetails"/>
              <w:spacing w:before="0" w:line="240" w:lineRule="auto"/>
              <w:jc w:val="center"/>
              <w:rPr>
                <w:color w:val="000000"/>
              </w:rPr>
            </w:pPr>
            <w:r w:rsidRPr="00B059E0">
              <w:rPr>
                <w:color w:val="000000"/>
              </w:rPr>
              <w:t>2.87</w:t>
            </w:r>
          </w:p>
          <w:p w14:paraId="28EC307A" w14:textId="77777777" w:rsidR="00A525CF" w:rsidRPr="00B059E0" w:rsidRDefault="00A525CF" w:rsidP="002272BE">
            <w:pPr>
              <w:pStyle w:val="Correspondencedetails"/>
              <w:spacing w:before="0" w:line="240" w:lineRule="auto"/>
              <w:jc w:val="center"/>
              <w:rPr>
                <w:color w:val="000000"/>
              </w:rPr>
            </w:pPr>
            <w:r w:rsidRPr="00B059E0">
              <w:rPr>
                <w:color w:val="000000"/>
              </w:rPr>
              <w:t>(3.04)</w:t>
            </w:r>
          </w:p>
        </w:tc>
        <w:tc>
          <w:tcPr>
            <w:tcW w:w="1276" w:type="dxa"/>
            <w:tcBorders>
              <w:top w:val="nil"/>
              <w:left w:val="nil"/>
              <w:bottom w:val="single" w:sz="4" w:space="0" w:color="auto"/>
              <w:right w:val="nil"/>
            </w:tcBorders>
            <w:shd w:val="clear" w:color="auto" w:fill="auto"/>
            <w:noWrap/>
            <w:vAlign w:val="center"/>
            <w:hideMark/>
          </w:tcPr>
          <w:p w14:paraId="080C9217" w14:textId="77777777" w:rsidR="00A525CF" w:rsidRPr="00B059E0" w:rsidRDefault="00A525CF" w:rsidP="002272BE">
            <w:pPr>
              <w:pStyle w:val="Correspondencedetails"/>
              <w:spacing w:before="0" w:line="240" w:lineRule="auto"/>
              <w:jc w:val="center"/>
              <w:rPr>
                <w:color w:val="000000"/>
              </w:rPr>
            </w:pPr>
            <w:r w:rsidRPr="00B059E0">
              <w:rPr>
                <w:color w:val="000000"/>
              </w:rPr>
              <w:t>.001**</w:t>
            </w:r>
          </w:p>
        </w:tc>
        <w:tc>
          <w:tcPr>
            <w:tcW w:w="1041" w:type="dxa"/>
            <w:tcBorders>
              <w:top w:val="nil"/>
              <w:left w:val="nil"/>
              <w:bottom w:val="single" w:sz="4" w:space="0" w:color="auto"/>
              <w:right w:val="nil"/>
            </w:tcBorders>
            <w:shd w:val="clear" w:color="auto" w:fill="auto"/>
            <w:noWrap/>
            <w:vAlign w:val="center"/>
            <w:hideMark/>
          </w:tcPr>
          <w:p w14:paraId="654D20B2" w14:textId="77777777" w:rsidR="00A525CF" w:rsidRPr="00B059E0" w:rsidRDefault="00A525CF" w:rsidP="002272BE">
            <w:pPr>
              <w:pStyle w:val="Correspondencedetails"/>
              <w:spacing w:before="0" w:line="240" w:lineRule="auto"/>
              <w:jc w:val="center"/>
              <w:rPr>
                <w:color w:val="000000"/>
              </w:rPr>
            </w:pPr>
            <w:r w:rsidRPr="00B059E0">
              <w:rPr>
                <w:color w:val="000000"/>
              </w:rPr>
              <w:t>1.51</w:t>
            </w:r>
          </w:p>
        </w:tc>
      </w:tr>
      <w:tr w:rsidR="00A525CF" w:rsidRPr="00B059E0" w14:paraId="6C6549CD" w14:textId="77777777" w:rsidTr="002272BE">
        <w:trPr>
          <w:trHeight w:val="300"/>
        </w:trPr>
        <w:tc>
          <w:tcPr>
            <w:tcW w:w="8838" w:type="dxa"/>
            <w:gridSpan w:val="6"/>
            <w:tcBorders>
              <w:top w:val="single" w:sz="4" w:space="0" w:color="auto"/>
              <w:left w:val="nil"/>
              <w:bottom w:val="nil"/>
              <w:right w:val="nil"/>
            </w:tcBorders>
            <w:shd w:val="clear" w:color="auto" w:fill="auto"/>
            <w:noWrap/>
            <w:vAlign w:val="center"/>
            <w:hideMark/>
          </w:tcPr>
          <w:p w14:paraId="311ACE33" w14:textId="77777777" w:rsidR="00A525CF" w:rsidRPr="00B059E0" w:rsidRDefault="00A525CF" w:rsidP="002272BE">
            <w:pPr>
              <w:pStyle w:val="Correspondencedetails"/>
              <w:spacing w:before="0" w:line="240" w:lineRule="auto"/>
              <w:jc w:val="both"/>
              <w:rPr>
                <w:color w:val="000000"/>
              </w:rPr>
            </w:pPr>
            <w:r w:rsidRPr="00B059E0">
              <w:rPr>
                <w:color w:val="000000"/>
              </w:rPr>
              <w:t xml:space="preserve">* </w:t>
            </w:r>
            <w:r w:rsidRPr="00B059E0">
              <w:rPr>
                <w:i/>
                <w:iCs/>
                <w:color w:val="000000"/>
              </w:rPr>
              <w:t xml:space="preserve">p </w:t>
            </w:r>
            <w:r w:rsidRPr="00B059E0">
              <w:rPr>
                <w:color w:val="000000"/>
              </w:rPr>
              <w:t xml:space="preserve">&lt; 0.05; ** </w:t>
            </w:r>
            <w:r w:rsidRPr="00B059E0">
              <w:rPr>
                <w:i/>
                <w:iCs/>
                <w:color w:val="000000"/>
              </w:rPr>
              <w:t xml:space="preserve">p </w:t>
            </w:r>
            <w:r w:rsidRPr="00B059E0">
              <w:rPr>
                <w:color w:val="000000"/>
              </w:rPr>
              <w:t>&lt; 0.001</w:t>
            </w:r>
          </w:p>
        </w:tc>
      </w:tr>
    </w:tbl>
    <w:p w14:paraId="61885A2F" w14:textId="77777777" w:rsidR="00A525CF" w:rsidRPr="00B059E0" w:rsidRDefault="00A525CF" w:rsidP="00B059E0">
      <w:pPr>
        <w:spacing w:line="240" w:lineRule="auto"/>
        <w:ind w:firstLine="0"/>
        <w:jc w:val="both"/>
        <w:rPr>
          <w:b/>
          <w:bCs/>
          <w:i/>
          <w:iCs/>
          <w:szCs w:val="24"/>
          <w:lang w:val="es-EC"/>
        </w:rPr>
      </w:pPr>
    </w:p>
    <w:p w14:paraId="1CF8F5FD" w14:textId="016E1E8A" w:rsidR="004E6312" w:rsidRPr="00B059E0" w:rsidRDefault="001A0887" w:rsidP="00B059E0">
      <w:pPr>
        <w:spacing w:line="240" w:lineRule="auto"/>
        <w:ind w:firstLine="708"/>
        <w:jc w:val="both"/>
        <w:rPr>
          <w:szCs w:val="24"/>
          <w:lang w:val="es-EC"/>
        </w:rPr>
      </w:pPr>
      <w:bookmarkStart w:id="12" w:name="_Toc36593226"/>
      <w:bookmarkStart w:id="13" w:name="_Toc40025293"/>
      <w:bookmarkStart w:id="14" w:name="_Toc42904641"/>
      <w:r w:rsidRPr="00B059E0">
        <w:rPr>
          <w:szCs w:val="24"/>
          <w:lang w:val="es-EC"/>
        </w:rPr>
        <w:t xml:space="preserve">Según </w:t>
      </w:r>
      <w:r w:rsidR="00A06A94" w:rsidRPr="00B059E0">
        <w:rPr>
          <w:i/>
          <w:iCs/>
          <w:szCs w:val="24"/>
          <w:lang w:val="es-EC"/>
        </w:rPr>
        <w:t>la prueba</w:t>
      </w:r>
      <w:r w:rsidRPr="00B059E0">
        <w:rPr>
          <w:i/>
          <w:iCs/>
          <w:szCs w:val="24"/>
          <w:lang w:val="es-EC"/>
        </w:rPr>
        <w:t xml:space="preserve"> PROLEC-R </w:t>
      </w:r>
      <w:r w:rsidRPr="00B059E0">
        <w:rPr>
          <w:szCs w:val="24"/>
          <w:lang w:val="es-EC"/>
        </w:rPr>
        <w:t xml:space="preserve">y de acuerdo con la primera hipótesis sobre la identificación de letras, los resultados mostraron que no hubo diferencias significativas entre los grupos, como se observa en la </w:t>
      </w:r>
      <w:r w:rsidR="00A525CF">
        <w:rPr>
          <w:szCs w:val="24"/>
          <w:lang w:val="es-EC"/>
        </w:rPr>
        <w:t>t</w:t>
      </w:r>
      <w:r w:rsidRPr="00B059E0">
        <w:rPr>
          <w:szCs w:val="24"/>
          <w:lang w:val="es-EC"/>
        </w:rPr>
        <w:t>abla 2.</w:t>
      </w:r>
    </w:p>
    <w:p w14:paraId="39A5B96D" w14:textId="6CFCD01E" w:rsidR="004E6312" w:rsidRDefault="004E6312" w:rsidP="00B059E0">
      <w:pPr>
        <w:spacing w:line="240" w:lineRule="auto"/>
        <w:ind w:firstLine="708"/>
        <w:jc w:val="both"/>
        <w:rPr>
          <w:szCs w:val="24"/>
          <w:lang w:val="es-EC"/>
        </w:rPr>
      </w:pPr>
      <w:r w:rsidRPr="00B059E0">
        <w:rPr>
          <w:szCs w:val="24"/>
          <w:lang w:val="es-EC"/>
        </w:rPr>
        <w:t>En cuanto a los procesos léxicos, los datos indicaron diferencias significativas moderadas entre grupos tanto en la tarea de lectura de palabras (</w:t>
      </w:r>
      <w:r w:rsidRPr="00B059E0">
        <w:rPr>
          <w:i/>
          <w:iCs/>
          <w:szCs w:val="24"/>
          <w:lang w:val="es-EC"/>
        </w:rPr>
        <w:t xml:space="preserve">p </w:t>
      </w:r>
      <w:r w:rsidRPr="00B059E0">
        <w:rPr>
          <w:szCs w:val="24"/>
          <w:lang w:val="es-EC"/>
        </w:rPr>
        <w:t>= 0</w:t>
      </w:r>
      <w:r w:rsidR="001A5CD9" w:rsidRPr="00B059E0">
        <w:rPr>
          <w:szCs w:val="24"/>
          <w:lang w:val="es-EC"/>
        </w:rPr>
        <w:t>.</w:t>
      </w:r>
      <w:r w:rsidRPr="00B059E0">
        <w:rPr>
          <w:szCs w:val="24"/>
          <w:lang w:val="es-EC"/>
        </w:rPr>
        <w:t xml:space="preserve">019; </w:t>
      </w:r>
      <w:r w:rsidRPr="00B059E0">
        <w:rPr>
          <w:i/>
          <w:iCs/>
          <w:szCs w:val="24"/>
          <w:lang w:val="es-EC"/>
        </w:rPr>
        <w:t xml:space="preserve">d </w:t>
      </w:r>
      <w:r w:rsidRPr="00B059E0">
        <w:rPr>
          <w:szCs w:val="24"/>
          <w:lang w:val="es-EC"/>
        </w:rPr>
        <w:t>= 0</w:t>
      </w:r>
      <w:r w:rsidR="001A5CD9" w:rsidRPr="00B059E0">
        <w:rPr>
          <w:szCs w:val="24"/>
          <w:lang w:val="es-EC"/>
        </w:rPr>
        <w:t>.</w:t>
      </w:r>
      <w:r w:rsidRPr="00B059E0">
        <w:rPr>
          <w:szCs w:val="24"/>
          <w:lang w:val="es-EC"/>
        </w:rPr>
        <w:t>57) como en la tarea de lectura de pseudopalabras (</w:t>
      </w:r>
      <w:r w:rsidRPr="00B059E0">
        <w:rPr>
          <w:i/>
          <w:iCs/>
          <w:szCs w:val="24"/>
          <w:lang w:val="es-EC"/>
        </w:rPr>
        <w:t xml:space="preserve">p </w:t>
      </w:r>
      <w:r w:rsidRPr="00B059E0">
        <w:rPr>
          <w:szCs w:val="24"/>
          <w:lang w:val="es-EC"/>
        </w:rPr>
        <w:t>= 0</w:t>
      </w:r>
      <w:r w:rsidR="001A5CD9" w:rsidRPr="00B059E0">
        <w:rPr>
          <w:szCs w:val="24"/>
          <w:lang w:val="es-EC"/>
        </w:rPr>
        <w:t>.</w:t>
      </w:r>
      <w:r w:rsidRPr="00B059E0">
        <w:rPr>
          <w:szCs w:val="24"/>
          <w:lang w:val="es-EC"/>
        </w:rPr>
        <w:t xml:space="preserve">005; </w:t>
      </w:r>
      <w:r w:rsidRPr="00B059E0">
        <w:rPr>
          <w:i/>
          <w:iCs/>
          <w:szCs w:val="24"/>
          <w:lang w:val="es-EC"/>
        </w:rPr>
        <w:t xml:space="preserve">d </w:t>
      </w:r>
      <w:r w:rsidRPr="00B059E0">
        <w:rPr>
          <w:szCs w:val="24"/>
          <w:lang w:val="es-EC"/>
        </w:rPr>
        <w:t>= 0</w:t>
      </w:r>
      <w:r w:rsidR="001A5CD9" w:rsidRPr="00B059E0">
        <w:rPr>
          <w:szCs w:val="24"/>
          <w:lang w:val="es-EC"/>
        </w:rPr>
        <w:t>.</w:t>
      </w:r>
      <w:r w:rsidRPr="00B059E0">
        <w:rPr>
          <w:szCs w:val="24"/>
          <w:lang w:val="es-EC"/>
        </w:rPr>
        <w:t xml:space="preserve">57), </w:t>
      </w:r>
      <w:r w:rsidR="00D552C9" w:rsidRPr="00B059E0">
        <w:rPr>
          <w:szCs w:val="24"/>
          <w:lang w:val="es-EC"/>
        </w:rPr>
        <w:t>confirmando</w:t>
      </w:r>
      <w:r w:rsidRPr="00B059E0">
        <w:rPr>
          <w:szCs w:val="24"/>
          <w:lang w:val="es-EC"/>
        </w:rPr>
        <w:t xml:space="preserve"> la segunda hipótesis de este estudio. El análisis </w:t>
      </w:r>
      <w:r w:rsidRPr="00B059E0">
        <w:rPr>
          <w:i/>
          <w:iCs/>
          <w:szCs w:val="24"/>
          <w:lang w:val="es-EC"/>
        </w:rPr>
        <w:t xml:space="preserve">post hoc </w:t>
      </w:r>
      <w:r w:rsidRPr="00B059E0">
        <w:rPr>
          <w:szCs w:val="24"/>
          <w:lang w:val="es-EC"/>
        </w:rPr>
        <w:t xml:space="preserve">indicó que el </w:t>
      </w:r>
      <w:r w:rsidR="0055624E" w:rsidRPr="00B059E0">
        <w:rPr>
          <w:szCs w:val="24"/>
          <w:lang w:val="es-EC"/>
        </w:rPr>
        <w:t>GSI</w:t>
      </w:r>
      <w:r w:rsidRPr="00B059E0">
        <w:rPr>
          <w:szCs w:val="24"/>
          <w:lang w:val="es-EC"/>
        </w:rPr>
        <w:t xml:space="preserve"> </w:t>
      </w:r>
      <w:r w:rsidR="00D552C9" w:rsidRPr="00B059E0">
        <w:rPr>
          <w:szCs w:val="24"/>
          <w:lang w:val="es-EC"/>
        </w:rPr>
        <w:t>tuvo una ejecución</w:t>
      </w:r>
      <w:r w:rsidRPr="00B059E0">
        <w:rPr>
          <w:szCs w:val="24"/>
          <w:lang w:val="es-EC"/>
        </w:rPr>
        <w:t xml:space="preserve"> peor que el GC en ambas tareas.</w:t>
      </w:r>
    </w:p>
    <w:p w14:paraId="39964E37" w14:textId="77777777" w:rsidR="00A525CF" w:rsidRDefault="00A525CF" w:rsidP="00B059E0">
      <w:pPr>
        <w:spacing w:line="240" w:lineRule="auto"/>
        <w:ind w:firstLine="708"/>
        <w:jc w:val="both"/>
        <w:rPr>
          <w:szCs w:val="24"/>
          <w:lang w:val="es-EC"/>
        </w:rPr>
      </w:pPr>
    </w:p>
    <w:p w14:paraId="16D1ABB6" w14:textId="77777777" w:rsidR="00A525CF" w:rsidRPr="00B059E0" w:rsidRDefault="00A525CF" w:rsidP="00A525CF">
      <w:pPr>
        <w:spacing w:line="240" w:lineRule="auto"/>
        <w:ind w:firstLine="0"/>
        <w:jc w:val="both"/>
        <w:rPr>
          <w:noProof/>
          <w:szCs w:val="24"/>
          <w:lang w:val="es-EC"/>
        </w:rPr>
      </w:pPr>
    </w:p>
    <w:p w14:paraId="7AA30595" w14:textId="5F35025C" w:rsidR="00A525CF" w:rsidRDefault="00A525CF" w:rsidP="00A525CF">
      <w:pPr>
        <w:spacing w:line="240" w:lineRule="auto"/>
        <w:ind w:firstLine="0"/>
        <w:jc w:val="both"/>
        <w:rPr>
          <w:b/>
          <w:bCs/>
          <w:szCs w:val="24"/>
          <w:lang w:val="es-EC"/>
        </w:rPr>
      </w:pPr>
      <w:r w:rsidRPr="00B059E0">
        <w:rPr>
          <w:b/>
          <w:bCs/>
          <w:szCs w:val="24"/>
          <w:lang w:val="es-EC"/>
        </w:rPr>
        <w:t>Tabla 2</w:t>
      </w:r>
    </w:p>
    <w:p w14:paraId="3B775F64" w14:textId="0FA8729E" w:rsidR="00A525CF" w:rsidRPr="006202E1" w:rsidRDefault="00A525CF" w:rsidP="00A525CF">
      <w:pPr>
        <w:spacing w:line="240" w:lineRule="auto"/>
        <w:ind w:firstLine="0"/>
        <w:jc w:val="both"/>
        <w:rPr>
          <w:i/>
          <w:iCs/>
          <w:szCs w:val="24"/>
          <w:lang w:val="es-EC"/>
        </w:rPr>
      </w:pPr>
      <w:r w:rsidRPr="006202E1">
        <w:rPr>
          <w:i/>
          <w:iCs/>
          <w:szCs w:val="24"/>
          <w:lang w:val="es-EC"/>
        </w:rPr>
        <w:t>Medias (y DE) en las puntuaciones de las nueve tareas PROLEC-R en el grupo síndrome de Irlen (GSI) y el grupo control No Irlen (GC)</w:t>
      </w:r>
    </w:p>
    <w:tbl>
      <w:tblPr>
        <w:tblW w:w="5000" w:type="pct"/>
        <w:tblCellMar>
          <w:left w:w="70" w:type="dxa"/>
          <w:right w:w="70" w:type="dxa"/>
        </w:tblCellMar>
        <w:tblLook w:val="04A0" w:firstRow="1" w:lastRow="0" w:firstColumn="1" w:lastColumn="0" w:noHBand="0" w:noVBand="1"/>
      </w:tblPr>
      <w:tblGrid>
        <w:gridCol w:w="2409"/>
        <w:gridCol w:w="2801"/>
        <w:gridCol w:w="1037"/>
        <w:gridCol w:w="1037"/>
        <w:gridCol w:w="1037"/>
        <w:gridCol w:w="1039"/>
      </w:tblGrid>
      <w:tr w:rsidR="00A525CF" w:rsidRPr="00B059E0" w14:paraId="57BDCEB0" w14:textId="77777777" w:rsidTr="00A525CF">
        <w:trPr>
          <w:trHeight w:val="79"/>
        </w:trPr>
        <w:tc>
          <w:tcPr>
            <w:tcW w:w="1287" w:type="pct"/>
            <w:tcBorders>
              <w:top w:val="single" w:sz="4" w:space="0" w:color="auto"/>
              <w:left w:val="nil"/>
              <w:right w:val="nil"/>
            </w:tcBorders>
            <w:vAlign w:val="center"/>
          </w:tcPr>
          <w:p w14:paraId="6D9352CC" w14:textId="77777777" w:rsidR="00A525CF" w:rsidRPr="00B059E0" w:rsidRDefault="00A525CF" w:rsidP="00A525CF">
            <w:pPr>
              <w:pStyle w:val="Correspondencedetails"/>
              <w:spacing w:before="0" w:line="240" w:lineRule="auto"/>
              <w:jc w:val="center"/>
            </w:pPr>
            <w:r w:rsidRPr="00B059E0">
              <w:t>Proceso</w:t>
            </w:r>
          </w:p>
        </w:tc>
        <w:tc>
          <w:tcPr>
            <w:tcW w:w="1496" w:type="pct"/>
            <w:tcBorders>
              <w:top w:val="single" w:sz="4" w:space="0" w:color="auto"/>
              <w:left w:val="nil"/>
              <w:right w:val="nil"/>
            </w:tcBorders>
            <w:shd w:val="clear" w:color="auto" w:fill="auto"/>
            <w:vAlign w:val="center"/>
            <w:hideMark/>
          </w:tcPr>
          <w:p w14:paraId="47DC4349" w14:textId="77777777" w:rsidR="00A525CF" w:rsidRPr="00B059E0" w:rsidRDefault="00A525CF" w:rsidP="00A525CF">
            <w:pPr>
              <w:pStyle w:val="Correspondencedetails"/>
              <w:spacing w:before="0" w:line="240" w:lineRule="auto"/>
              <w:jc w:val="center"/>
            </w:pPr>
            <w:r w:rsidRPr="00B059E0">
              <w:t>Tarea</w:t>
            </w:r>
          </w:p>
        </w:tc>
        <w:tc>
          <w:tcPr>
            <w:tcW w:w="554" w:type="pct"/>
            <w:tcBorders>
              <w:top w:val="single" w:sz="4" w:space="0" w:color="auto"/>
              <w:left w:val="nil"/>
              <w:right w:val="nil"/>
            </w:tcBorders>
            <w:shd w:val="clear" w:color="auto" w:fill="auto"/>
            <w:vAlign w:val="center"/>
            <w:hideMark/>
          </w:tcPr>
          <w:p w14:paraId="680E2601" w14:textId="77777777" w:rsidR="00A525CF" w:rsidRPr="00B059E0" w:rsidRDefault="00A525CF" w:rsidP="00A525CF">
            <w:pPr>
              <w:pStyle w:val="Correspondencedetails"/>
              <w:spacing w:before="0" w:line="240" w:lineRule="auto"/>
              <w:jc w:val="center"/>
              <w:rPr>
                <w:lang w:val="es-EC"/>
              </w:rPr>
            </w:pPr>
            <w:r w:rsidRPr="00B059E0">
              <w:rPr>
                <w:lang w:val="es-EC"/>
              </w:rPr>
              <w:t>GSI</w:t>
            </w:r>
          </w:p>
        </w:tc>
        <w:tc>
          <w:tcPr>
            <w:tcW w:w="554" w:type="pct"/>
            <w:tcBorders>
              <w:top w:val="single" w:sz="4" w:space="0" w:color="auto"/>
              <w:left w:val="nil"/>
              <w:right w:val="nil"/>
            </w:tcBorders>
            <w:shd w:val="clear" w:color="auto" w:fill="auto"/>
            <w:vAlign w:val="center"/>
            <w:hideMark/>
          </w:tcPr>
          <w:p w14:paraId="01D4D014" w14:textId="77777777" w:rsidR="00A525CF" w:rsidRPr="00B059E0" w:rsidRDefault="00A525CF" w:rsidP="00A525CF">
            <w:pPr>
              <w:pStyle w:val="Correspondencedetails"/>
              <w:spacing w:before="0" w:line="240" w:lineRule="auto"/>
              <w:jc w:val="center"/>
              <w:rPr>
                <w:lang w:val="es-EC"/>
              </w:rPr>
            </w:pPr>
            <w:r w:rsidRPr="00B059E0">
              <w:rPr>
                <w:lang w:val="es-EC"/>
              </w:rPr>
              <w:t>GC</w:t>
            </w:r>
          </w:p>
        </w:tc>
        <w:tc>
          <w:tcPr>
            <w:tcW w:w="554" w:type="pct"/>
            <w:tcBorders>
              <w:top w:val="single" w:sz="4" w:space="0" w:color="auto"/>
              <w:left w:val="nil"/>
              <w:right w:val="nil"/>
            </w:tcBorders>
            <w:shd w:val="clear" w:color="auto" w:fill="auto"/>
            <w:noWrap/>
            <w:vAlign w:val="center"/>
            <w:hideMark/>
          </w:tcPr>
          <w:p w14:paraId="5C3F4F54" w14:textId="77777777" w:rsidR="00A525CF" w:rsidRPr="00B059E0" w:rsidRDefault="00A525CF" w:rsidP="00A525CF">
            <w:pPr>
              <w:pStyle w:val="Correspondencedetails"/>
              <w:spacing w:before="0" w:line="240" w:lineRule="auto"/>
              <w:jc w:val="center"/>
              <w:rPr>
                <w:i/>
                <w:iCs/>
                <w:lang w:val="es-EC"/>
              </w:rPr>
            </w:pPr>
            <w:r w:rsidRPr="00B059E0">
              <w:rPr>
                <w:i/>
                <w:iCs/>
                <w:lang w:val="es-EC"/>
              </w:rPr>
              <w:t>U</w:t>
            </w:r>
          </w:p>
        </w:tc>
        <w:tc>
          <w:tcPr>
            <w:tcW w:w="555" w:type="pct"/>
            <w:tcBorders>
              <w:top w:val="single" w:sz="4" w:space="0" w:color="auto"/>
              <w:left w:val="nil"/>
              <w:right w:val="nil"/>
            </w:tcBorders>
            <w:shd w:val="clear" w:color="auto" w:fill="auto"/>
            <w:noWrap/>
            <w:vAlign w:val="center"/>
            <w:hideMark/>
          </w:tcPr>
          <w:p w14:paraId="03D32EFA" w14:textId="77777777" w:rsidR="00A525CF" w:rsidRPr="00B059E0" w:rsidRDefault="00A525CF" w:rsidP="00A525CF">
            <w:pPr>
              <w:pStyle w:val="Correspondencedetails"/>
              <w:spacing w:before="0" w:line="240" w:lineRule="auto"/>
              <w:jc w:val="center"/>
              <w:rPr>
                <w:i/>
                <w:iCs/>
                <w:lang w:val="es-EC"/>
              </w:rPr>
            </w:pPr>
            <w:r w:rsidRPr="00B059E0">
              <w:rPr>
                <w:i/>
                <w:iCs/>
                <w:lang w:val="es-EC"/>
              </w:rPr>
              <w:t>d</w:t>
            </w:r>
          </w:p>
        </w:tc>
      </w:tr>
      <w:tr w:rsidR="00A525CF" w:rsidRPr="00B059E0" w14:paraId="13638C59" w14:textId="77777777" w:rsidTr="00A525CF">
        <w:trPr>
          <w:trHeight w:val="315"/>
        </w:trPr>
        <w:tc>
          <w:tcPr>
            <w:tcW w:w="1287" w:type="pct"/>
            <w:vMerge w:val="restart"/>
            <w:tcBorders>
              <w:top w:val="single" w:sz="4" w:space="0" w:color="auto"/>
              <w:left w:val="nil"/>
              <w:right w:val="nil"/>
            </w:tcBorders>
            <w:vAlign w:val="center"/>
          </w:tcPr>
          <w:p w14:paraId="27AF13AD" w14:textId="77777777" w:rsidR="00A525CF" w:rsidRPr="00B059E0" w:rsidRDefault="00A525CF" w:rsidP="002272BE">
            <w:pPr>
              <w:pStyle w:val="Correspondencedetails"/>
              <w:spacing w:before="0" w:line="240" w:lineRule="auto"/>
              <w:jc w:val="both"/>
              <w:rPr>
                <w:color w:val="000000" w:themeColor="text1"/>
              </w:rPr>
            </w:pPr>
            <w:r w:rsidRPr="00B059E0">
              <w:rPr>
                <w:color w:val="000000" w:themeColor="text1"/>
              </w:rPr>
              <w:t>Identificación de letras</w:t>
            </w:r>
          </w:p>
        </w:tc>
        <w:tc>
          <w:tcPr>
            <w:tcW w:w="1496" w:type="pct"/>
            <w:tcBorders>
              <w:top w:val="single" w:sz="4" w:space="0" w:color="auto"/>
              <w:left w:val="nil"/>
              <w:right w:val="nil"/>
            </w:tcBorders>
            <w:shd w:val="clear" w:color="auto" w:fill="auto"/>
            <w:vAlign w:val="center"/>
            <w:hideMark/>
          </w:tcPr>
          <w:p w14:paraId="0292903E" w14:textId="77777777" w:rsidR="00A525CF" w:rsidRPr="00B059E0" w:rsidRDefault="00A525CF" w:rsidP="002272BE">
            <w:pPr>
              <w:pStyle w:val="Correspondencedetails"/>
              <w:spacing w:before="0" w:line="240" w:lineRule="auto"/>
              <w:jc w:val="both"/>
            </w:pPr>
            <w:r w:rsidRPr="00B059E0">
              <w:rPr>
                <w:color w:val="000000" w:themeColor="text1"/>
              </w:rPr>
              <w:t>Identificación de letras</w:t>
            </w:r>
          </w:p>
        </w:tc>
        <w:tc>
          <w:tcPr>
            <w:tcW w:w="554" w:type="pct"/>
            <w:tcBorders>
              <w:top w:val="single" w:sz="4" w:space="0" w:color="auto"/>
              <w:left w:val="nil"/>
              <w:right w:val="nil"/>
            </w:tcBorders>
            <w:shd w:val="clear" w:color="auto" w:fill="auto"/>
            <w:vAlign w:val="center"/>
            <w:hideMark/>
          </w:tcPr>
          <w:p w14:paraId="4BB45D6F" w14:textId="77777777" w:rsidR="00A525CF" w:rsidRPr="00B059E0" w:rsidRDefault="00A525CF" w:rsidP="00A525CF">
            <w:pPr>
              <w:pStyle w:val="Correspondencedetails"/>
              <w:spacing w:before="0" w:line="240" w:lineRule="auto"/>
              <w:jc w:val="center"/>
              <w:rPr>
                <w:lang w:val="es-EC"/>
              </w:rPr>
            </w:pPr>
            <w:r w:rsidRPr="00B059E0">
              <w:rPr>
                <w:lang w:val="es-EC"/>
              </w:rPr>
              <w:t>107.19</w:t>
            </w:r>
          </w:p>
          <w:p w14:paraId="61714D08" w14:textId="77777777" w:rsidR="00A525CF" w:rsidRPr="00B059E0" w:rsidRDefault="00A525CF" w:rsidP="00A525CF">
            <w:pPr>
              <w:pStyle w:val="Correspondencedetails"/>
              <w:spacing w:before="0" w:line="240" w:lineRule="auto"/>
              <w:jc w:val="center"/>
              <w:rPr>
                <w:lang w:val="es-EC"/>
              </w:rPr>
            </w:pPr>
            <w:r w:rsidRPr="00B059E0">
              <w:rPr>
                <w:lang w:val="es-EC"/>
              </w:rPr>
              <w:t>(39.54)</w:t>
            </w:r>
          </w:p>
        </w:tc>
        <w:tc>
          <w:tcPr>
            <w:tcW w:w="554" w:type="pct"/>
            <w:tcBorders>
              <w:top w:val="single" w:sz="4" w:space="0" w:color="auto"/>
              <w:left w:val="nil"/>
              <w:right w:val="nil"/>
            </w:tcBorders>
            <w:shd w:val="clear" w:color="auto" w:fill="auto"/>
            <w:vAlign w:val="center"/>
            <w:hideMark/>
          </w:tcPr>
          <w:p w14:paraId="52A5175A" w14:textId="77777777" w:rsidR="00A525CF" w:rsidRPr="00B059E0" w:rsidRDefault="00A525CF" w:rsidP="00A525CF">
            <w:pPr>
              <w:pStyle w:val="Correspondencedetails"/>
              <w:spacing w:before="0" w:line="240" w:lineRule="auto"/>
              <w:jc w:val="center"/>
              <w:rPr>
                <w:lang w:val="es-EC"/>
              </w:rPr>
            </w:pPr>
            <w:r w:rsidRPr="00B059E0">
              <w:rPr>
                <w:lang w:val="es-EC"/>
              </w:rPr>
              <w:t>102.20</w:t>
            </w:r>
          </w:p>
          <w:p w14:paraId="227DC3AB" w14:textId="77777777" w:rsidR="00A525CF" w:rsidRPr="00B059E0" w:rsidRDefault="00A525CF" w:rsidP="00A525CF">
            <w:pPr>
              <w:pStyle w:val="Correspondencedetails"/>
              <w:spacing w:before="0" w:line="240" w:lineRule="auto"/>
              <w:jc w:val="center"/>
              <w:rPr>
                <w:lang w:val="es-EC"/>
              </w:rPr>
            </w:pPr>
            <w:r w:rsidRPr="00B059E0">
              <w:rPr>
                <w:lang w:val="es-EC"/>
              </w:rPr>
              <w:t>(35.58)</w:t>
            </w:r>
          </w:p>
        </w:tc>
        <w:tc>
          <w:tcPr>
            <w:tcW w:w="554" w:type="pct"/>
            <w:tcBorders>
              <w:top w:val="single" w:sz="4" w:space="0" w:color="auto"/>
              <w:left w:val="nil"/>
              <w:right w:val="nil"/>
            </w:tcBorders>
            <w:shd w:val="clear" w:color="auto" w:fill="auto"/>
            <w:noWrap/>
            <w:vAlign w:val="center"/>
            <w:hideMark/>
          </w:tcPr>
          <w:p w14:paraId="4DC84725" w14:textId="77777777" w:rsidR="00A525CF" w:rsidRPr="00B059E0" w:rsidRDefault="00A525CF" w:rsidP="00A525CF">
            <w:pPr>
              <w:pStyle w:val="Correspondencedetails"/>
              <w:spacing w:before="0" w:line="240" w:lineRule="auto"/>
              <w:jc w:val="center"/>
              <w:rPr>
                <w:lang w:val="es-EC"/>
              </w:rPr>
            </w:pPr>
            <w:r w:rsidRPr="00B059E0">
              <w:rPr>
                <w:lang w:val="es-EC"/>
              </w:rPr>
              <w:t>.584</w:t>
            </w:r>
          </w:p>
        </w:tc>
        <w:tc>
          <w:tcPr>
            <w:tcW w:w="555" w:type="pct"/>
            <w:tcBorders>
              <w:top w:val="single" w:sz="4" w:space="0" w:color="auto"/>
              <w:left w:val="nil"/>
              <w:right w:val="nil"/>
            </w:tcBorders>
            <w:shd w:val="clear" w:color="auto" w:fill="auto"/>
            <w:noWrap/>
            <w:vAlign w:val="center"/>
            <w:hideMark/>
          </w:tcPr>
          <w:p w14:paraId="175E2FFC" w14:textId="77777777" w:rsidR="00A525CF" w:rsidRPr="00B059E0" w:rsidRDefault="00A525CF" w:rsidP="00A525CF">
            <w:pPr>
              <w:pStyle w:val="Correspondencedetails"/>
              <w:spacing w:before="0" w:line="240" w:lineRule="auto"/>
              <w:jc w:val="center"/>
              <w:rPr>
                <w:lang w:val="es-EC"/>
              </w:rPr>
            </w:pPr>
            <w:r w:rsidRPr="00B059E0">
              <w:rPr>
                <w:lang w:val="es-EC"/>
              </w:rPr>
              <w:t>.13</w:t>
            </w:r>
          </w:p>
        </w:tc>
      </w:tr>
      <w:tr w:rsidR="00A525CF" w:rsidRPr="00B059E0" w14:paraId="2F13269F" w14:textId="77777777" w:rsidTr="00A525CF">
        <w:trPr>
          <w:trHeight w:val="315"/>
        </w:trPr>
        <w:tc>
          <w:tcPr>
            <w:tcW w:w="1287" w:type="pct"/>
            <w:vMerge/>
            <w:tcBorders>
              <w:left w:val="nil"/>
              <w:bottom w:val="single" w:sz="4" w:space="0" w:color="auto"/>
              <w:right w:val="nil"/>
            </w:tcBorders>
            <w:vAlign w:val="center"/>
          </w:tcPr>
          <w:p w14:paraId="6D0BF5D7" w14:textId="77777777" w:rsidR="00A525CF" w:rsidRPr="00B059E0" w:rsidRDefault="00A525CF" w:rsidP="002272BE">
            <w:pPr>
              <w:pStyle w:val="Correspondencedetails"/>
              <w:spacing w:before="0" w:line="240" w:lineRule="auto"/>
              <w:jc w:val="both"/>
            </w:pPr>
          </w:p>
        </w:tc>
        <w:tc>
          <w:tcPr>
            <w:tcW w:w="1496" w:type="pct"/>
            <w:tcBorders>
              <w:top w:val="nil"/>
              <w:left w:val="nil"/>
              <w:bottom w:val="single" w:sz="4" w:space="0" w:color="auto"/>
              <w:right w:val="nil"/>
            </w:tcBorders>
            <w:shd w:val="clear" w:color="auto" w:fill="auto"/>
            <w:vAlign w:val="center"/>
            <w:hideMark/>
          </w:tcPr>
          <w:p w14:paraId="7EE32C31" w14:textId="77777777" w:rsidR="00A525CF" w:rsidRPr="00B059E0" w:rsidRDefault="00A525CF" w:rsidP="002272BE">
            <w:pPr>
              <w:pStyle w:val="Correspondencedetails"/>
              <w:spacing w:before="0" w:line="240" w:lineRule="auto"/>
              <w:jc w:val="both"/>
            </w:pPr>
            <w:r w:rsidRPr="00B059E0">
              <w:t>Igual-Diferente</w:t>
            </w:r>
          </w:p>
        </w:tc>
        <w:tc>
          <w:tcPr>
            <w:tcW w:w="554" w:type="pct"/>
            <w:tcBorders>
              <w:top w:val="nil"/>
              <w:left w:val="nil"/>
              <w:bottom w:val="single" w:sz="4" w:space="0" w:color="auto"/>
              <w:right w:val="nil"/>
            </w:tcBorders>
            <w:shd w:val="clear" w:color="auto" w:fill="auto"/>
            <w:vAlign w:val="center"/>
            <w:hideMark/>
          </w:tcPr>
          <w:p w14:paraId="6C235400" w14:textId="77777777" w:rsidR="00A525CF" w:rsidRPr="00B059E0" w:rsidRDefault="00A525CF" w:rsidP="00A525CF">
            <w:pPr>
              <w:pStyle w:val="Correspondencedetails"/>
              <w:spacing w:before="0" w:line="240" w:lineRule="auto"/>
              <w:jc w:val="center"/>
              <w:rPr>
                <w:lang w:val="es-EC"/>
              </w:rPr>
            </w:pPr>
            <w:r w:rsidRPr="00B059E0">
              <w:rPr>
                <w:lang w:val="es-EC"/>
              </w:rPr>
              <w:t>19.02</w:t>
            </w:r>
          </w:p>
          <w:p w14:paraId="225A7C1D" w14:textId="77777777" w:rsidR="00A525CF" w:rsidRPr="00B059E0" w:rsidRDefault="00A525CF" w:rsidP="00A525CF">
            <w:pPr>
              <w:pStyle w:val="Correspondencedetails"/>
              <w:spacing w:before="0" w:line="240" w:lineRule="auto"/>
              <w:jc w:val="center"/>
              <w:rPr>
                <w:lang w:val="es-EC"/>
              </w:rPr>
            </w:pPr>
            <w:r w:rsidRPr="00B059E0">
              <w:rPr>
                <w:lang w:val="es-EC"/>
              </w:rPr>
              <w:t>(11.49)</w:t>
            </w:r>
          </w:p>
        </w:tc>
        <w:tc>
          <w:tcPr>
            <w:tcW w:w="554" w:type="pct"/>
            <w:tcBorders>
              <w:top w:val="nil"/>
              <w:left w:val="nil"/>
              <w:bottom w:val="single" w:sz="4" w:space="0" w:color="auto"/>
              <w:right w:val="nil"/>
            </w:tcBorders>
            <w:shd w:val="clear" w:color="auto" w:fill="auto"/>
            <w:vAlign w:val="center"/>
            <w:hideMark/>
          </w:tcPr>
          <w:p w14:paraId="04581E9C" w14:textId="77777777" w:rsidR="00A525CF" w:rsidRPr="00B059E0" w:rsidRDefault="00A525CF" w:rsidP="00A525CF">
            <w:pPr>
              <w:pStyle w:val="Correspondencedetails"/>
              <w:spacing w:before="0" w:line="240" w:lineRule="auto"/>
              <w:jc w:val="center"/>
              <w:rPr>
                <w:lang w:val="es-EC"/>
              </w:rPr>
            </w:pPr>
            <w:r w:rsidRPr="00B059E0">
              <w:rPr>
                <w:lang w:val="es-EC"/>
              </w:rPr>
              <w:t>20.22</w:t>
            </w:r>
          </w:p>
          <w:p w14:paraId="439AF162" w14:textId="77777777" w:rsidR="00A525CF" w:rsidRPr="00B059E0" w:rsidRDefault="00A525CF" w:rsidP="00A525CF">
            <w:pPr>
              <w:pStyle w:val="Correspondencedetails"/>
              <w:spacing w:before="0" w:line="240" w:lineRule="auto"/>
              <w:jc w:val="center"/>
              <w:rPr>
                <w:lang w:val="es-EC"/>
              </w:rPr>
            </w:pPr>
            <w:r w:rsidRPr="00B059E0">
              <w:rPr>
                <w:lang w:val="es-EC"/>
              </w:rPr>
              <w:t>(11.67)</w:t>
            </w:r>
          </w:p>
        </w:tc>
        <w:tc>
          <w:tcPr>
            <w:tcW w:w="554" w:type="pct"/>
            <w:tcBorders>
              <w:top w:val="nil"/>
              <w:left w:val="nil"/>
              <w:bottom w:val="single" w:sz="4" w:space="0" w:color="auto"/>
              <w:right w:val="nil"/>
            </w:tcBorders>
            <w:shd w:val="clear" w:color="auto" w:fill="auto"/>
            <w:noWrap/>
            <w:vAlign w:val="center"/>
            <w:hideMark/>
          </w:tcPr>
          <w:p w14:paraId="2A2B049C" w14:textId="77777777" w:rsidR="00A525CF" w:rsidRPr="00B059E0" w:rsidRDefault="00A525CF" w:rsidP="00A525CF">
            <w:pPr>
              <w:pStyle w:val="Correspondencedetails"/>
              <w:spacing w:before="0" w:line="240" w:lineRule="auto"/>
              <w:jc w:val="center"/>
              <w:rPr>
                <w:lang w:val="es-EC"/>
              </w:rPr>
            </w:pPr>
            <w:r w:rsidRPr="00B059E0">
              <w:rPr>
                <w:lang w:val="es-EC"/>
              </w:rPr>
              <w:t>.462</w:t>
            </w:r>
          </w:p>
        </w:tc>
        <w:tc>
          <w:tcPr>
            <w:tcW w:w="555" w:type="pct"/>
            <w:tcBorders>
              <w:top w:val="nil"/>
              <w:left w:val="nil"/>
              <w:bottom w:val="single" w:sz="4" w:space="0" w:color="auto"/>
              <w:right w:val="nil"/>
            </w:tcBorders>
            <w:shd w:val="clear" w:color="auto" w:fill="auto"/>
            <w:noWrap/>
            <w:vAlign w:val="center"/>
            <w:hideMark/>
          </w:tcPr>
          <w:p w14:paraId="4F5C9D80" w14:textId="77777777" w:rsidR="00A525CF" w:rsidRPr="00B059E0" w:rsidRDefault="00A525CF" w:rsidP="00A525CF">
            <w:pPr>
              <w:pStyle w:val="Correspondencedetails"/>
              <w:spacing w:before="0" w:line="240" w:lineRule="auto"/>
              <w:jc w:val="center"/>
              <w:rPr>
                <w:lang w:val="es-EC"/>
              </w:rPr>
            </w:pPr>
            <w:r w:rsidRPr="00B059E0">
              <w:rPr>
                <w:lang w:val="es-EC"/>
              </w:rPr>
              <w:t>.10</w:t>
            </w:r>
          </w:p>
        </w:tc>
      </w:tr>
      <w:tr w:rsidR="00A525CF" w:rsidRPr="00B059E0" w14:paraId="638D4B3F" w14:textId="77777777" w:rsidTr="00A525CF">
        <w:trPr>
          <w:trHeight w:val="360"/>
        </w:trPr>
        <w:tc>
          <w:tcPr>
            <w:tcW w:w="1287" w:type="pct"/>
            <w:vMerge w:val="restart"/>
            <w:tcBorders>
              <w:top w:val="single" w:sz="4" w:space="0" w:color="auto"/>
              <w:left w:val="nil"/>
              <w:right w:val="nil"/>
            </w:tcBorders>
            <w:vAlign w:val="center"/>
          </w:tcPr>
          <w:p w14:paraId="0CBD638D" w14:textId="77777777" w:rsidR="00A525CF" w:rsidRPr="00B059E0" w:rsidRDefault="00A525CF" w:rsidP="002272BE">
            <w:pPr>
              <w:pStyle w:val="Correspondencedetails"/>
              <w:spacing w:before="0" w:line="240" w:lineRule="auto"/>
              <w:jc w:val="both"/>
              <w:rPr>
                <w:color w:val="000000" w:themeColor="text1"/>
                <w:lang w:val="en-US"/>
              </w:rPr>
            </w:pPr>
            <w:r w:rsidRPr="00B059E0">
              <w:rPr>
                <w:color w:val="000000" w:themeColor="text1"/>
              </w:rPr>
              <w:t>Léxico</w:t>
            </w:r>
          </w:p>
        </w:tc>
        <w:tc>
          <w:tcPr>
            <w:tcW w:w="1496" w:type="pct"/>
            <w:tcBorders>
              <w:top w:val="single" w:sz="4" w:space="0" w:color="auto"/>
              <w:left w:val="nil"/>
              <w:right w:val="nil"/>
            </w:tcBorders>
            <w:shd w:val="clear" w:color="auto" w:fill="auto"/>
            <w:vAlign w:val="center"/>
            <w:hideMark/>
          </w:tcPr>
          <w:p w14:paraId="58A0DE21" w14:textId="77777777" w:rsidR="00A525CF" w:rsidRPr="00B059E0" w:rsidRDefault="00A525CF" w:rsidP="002272BE">
            <w:pPr>
              <w:pStyle w:val="Correspondencedetails"/>
              <w:spacing w:before="0" w:line="240" w:lineRule="auto"/>
              <w:jc w:val="both"/>
            </w:pPr>
            <w:r w:rsidRPr="00B059E0">
              <w:rPr>
                <w:color w:val="000000" w:themeColor="text1"/>
              </w:rPr>
              <w:t>Lectura de palabras</w:t>
            </w:r>
          </w:p>
        </w:tc>
        <w:tc>
          <w:tcPr>
            <w:tcW w:w="554" w:type="pct"/>
            <w:tcBorders>
              <w:top w:val="single" w:sz="4" w:space="0" w:color="auto"/>
              <w:left w:val="nil"/>
              <w:right w:val="nil"/>
            </w:tcBorders>
            <w:shd w:val="clear" w:color="auto" w:fill="auto"/>
            <w:vAlign w:val="center"/>
            <w:hideMark/>
          </w:tcPr>
          <w:p w14:paraId="2E7683E3" w14:textId="77777777" w:rsidR="00A525CF" w:rsidRPr="00B059E0" w:rsidRDefault="00A525CF" w:rsidP="00A525CF">
            <w:pPr>
              <w:pStyle w:val="Correspondencedetails"/>
              <w:spacing w:before="0" w:line="240" w:lineRule="auto"/>
              <w:jc w:val="center"/>
              <w:rPr>
                <w:lang w:val="es-EC"/>
              </w:rPr>
            </w:pPr>
            <w:r w:rsidRPr="00B059E0">
              <w:rPr>
                <w:lang w:val="es-EC"/>
              </w:rPr>
              <w:t>57.33</w:t>
            </w:r>
          </w:p>
          <w:p w14:paraId="13AE6486" w14:textId="77777777" w:rsidR="00A525CF" w:rsidRPr="00B059E0" w:rsidRDefault="00A525CF" w:rsidP="00A525CF">
            <w:pPr>
              <w:pStyle w:val="Correspondencedetails"/>
              <w:spacing w:before="0" w:line="240" w:lineRule="auto"/>
              <w:jc w:val="center"/>
              <w:rPr>
                <w:lang w:val="es-EC"/>
              </w:rPr>
            </w:pPr>
            <w:r w:rsidRPr="00B059E0">
              <w:rPr>
                <w:lang w:val="es-EC"/>
              </w:rPr>
              <w:t>(23.38)</w:t>
            </w:r>
          </w:p>
        </w:tc>
        <w:tc>
          <w:tcPr>
            <w:tcW w:w="554" w:type="pct"/>
            <w:tcBorders>
              <w:top w:val="single" w:sz="4" w:space="0" w:color="auto"/>
              <w:left w:val="nil"/>
              <w:right w:val="nil"/>
            </w:tcBorders>
            <w:shd w:val="clear" w:color="auto" w:fill="auto"/>
            <w:vAlign w:val="center"/>
            <w:hideMark/>
          </w:tcPr>
          <w:p w14:paraId="24531FFB" w14:textId="77777777" w:rsidR="00A525CF" w:rsidRPr="00B059E0" w:rsidRDefault="00A525CF" w:rsidP="00A525CF">
            <w:pPr>
              <w:pStyle w:val="Correspondencedetails"/>
              <w:spacing w:before="0" w:line="240" w:lineRule="auto"/>
              <w:jc w:val="center"/>
              <w:rPr>
                <w:lang w:val="es-EC"/>
              </w:rPr>
            </w:pPr>
            <w:r w:rsidRPr="00B059E0">
              <w:rPr>
                <w:lang w:val="es-EC"/>
              </w:rPr>
              <w:t>73.56</w:t>
            </w:r>
          </w:p>
          <w:p w14:paraId="23FE959C" w14:textId="77777777" w:rsidR="00A525CF" w:rsidRPr="00B059E0" w:rsidRDefault="00A525CF" w:rsidP="00A525CF">
            <w:pPr>
              <w:pStyle w:val="Correspondencedetails"/>
              <w:spacing w:before="0" w:line="240" w:lineRule="auto"/>
              <w:jc w:val="center"/>
              <w:rPr>
                <w:lang w:val="es-EC"/>
              </w:rPr>
            </w:pPr>
            <w:r w:rsidRPr="00B059E0">
              <w:rPr>
                <w:lang w:val="es-EC"/>
              </w:rPr>
              <w:t>(32.67)</w:t>
            </w:r>
          </w:p>
        </w:tc>
        <w:tc>
          <w:tcPr>
            <w:tcW w:w="554" w:type="pct"/>
            <w:tcBorders>
              <w:top w:val="single" w:sz="4" w:space="0" w:color="auto"/>
              <w:left w:val="nil"/>
              <w:right w:val="nil"/>
            </w:tcBorders>
            <w:shd w:val="clear" w:color="auto" w:fill="auto"/>
            <w:noWrap/>
            <w:vAlign w:val="center"/>
            <w:hideMark/>
          </w:tcPr>
          <w:p w14:paraId="78BE48B3" w14:textId="77777777" w:rsidR="00A525CF" w:rsidRPr="00B059E0" w:rsidRDefault="00A525CF" w:rsidP="00A525CF">
            <w:pPr>
              <w:pStyle w:val="Correspondencedetails"/>
              <w:spacing w:before="0" w:line="240" w:lineRule="auto"/>
              <w:jc w:val="center"/>
              <w:rPr>
                <w:lang w:val="es-EC"/>
              </w:rPr>
            </w:pPr>
            <w:r w:rsidRPr="00B059E0">
              <w:rPr>
                <w:lang w:val="es-EC"/>
              </w:rPr>
              <w:t>.019*</w:t>
            </w:r>
          </w:p>
        </w:tc>
        <w:tc>
          <w:tcPr>
            <w:tcW w:w="555" w:type="pct"/>
            <w:tcBorders>
              <w:top w:val="single" w:sz="4" w:space="0" w:color="auto"/>
              <w:left w:val="nil"/>
              <w:right w:val="nil"/>
            </w:tcBorders>
            <w:shd w:val="clear" w:color="auto" w:fill="auto"/>
            <w:noWrap/>
            <w:vAlign w:val="center"/>
            <w:hideMark/>
          </w:tcPr>
          <w:p w14:paraId="36F802B9" w14:textId="77777777" w:rsidR="00A525CF" w:rsidRPr="00B059E0" w:rsidRDefault="00A525CF" w:rsidP="00A525CF">
            <w:pPr>
              <w:pStyle w:val="Correspondencedetails"/>
              <w:spacing w:before="0" w:line="240" w:lineRule="auto"/>
              <w:jc w:val="center"/>
              <w:rPr>
                <w:lang w:val="es-EC"/>
              </w:rPr>
            </w:pPr>
            <w:r w:rsidRPr="00B059E0">
              <w:rPr>
                <w:lang w:val="es-EC"/>
              </w:rPr>
              <w:t>.57</w:t>
            </w:r>
          </w:p>
        </w:tc>
      </w:tr>
      <w:tr w:rsidR="00A525CF" w:rsidRPr="00B059E0" w14:paraId="7AF2936C" w14:textId="77777777" w:rsidTr="00A525CF">
        <w:trPr>
          <w:trHeight w:val="360"/>
        </w:trPr>
        <w:tc>
          <w:tcPr>
            <w:tcW w:w="1287" w:type="pct"/>
            <w:vMerge/>
            <w:tcBorders>
              <w:left w:val="nil"/>
              <w:bottom w:val="single" w:sz="4" w:space="0" w:color="auto"/>
              <w:right w:val="nil"/>
            </w:tcBorders>
            <w:vAlign w:val="center"/>
          </w:tcPr>
          <w:p w14:paraId="3E8C9A23" w14:textId="77777777" w:rsidR="00A525CF" w:rsidRPr="00B059E0" w:rsidRDefault="00A525CF" w:rsidP="002272BE">
            <w:pPr>
              <w:pStyle w:val="Correspondencedetails"/>
              <w:spacing w:before="0" w:line="240" w:lineRule="auto"/>
              <w:jc w:val="both"/>
              <w:rPr>
                <w:color w:val="000000" w:themeColor="text1"/>
              </w:rPr>
            </w:pPr>
          </w:p>
        </w:tc>
        <w:tc>
          <w:tcPr>
            <w:tcW w:w="1496" w:type="pct"/>
            <w:tcBorders>
              <w:top w:val="nil"/>
              <w:left w:val="nil"/>
              <w:bottom w:val="single" w:sz="4" w:space="0" w:color="auto"/>
              <w:right w:val="nil"/>
            </w:tcBorders>
            <w:shd w:val="clear" w:color="auto" w:fill="auto"/>
            <w:vAlign w:val="center"/>
            <w:hideMark/>
          </w:tcPr>
          <w:p w14:paraId="3301F9EC" w14:textId="77777777" w:rsidR="00A525CF" w:rsidRPr="00B059E0" w:rsidRDefault="00A525CF" w:rsidP="002272BE">
            <w:pPr>
              <w:pStyle w:val="Correspondencedetails"/>
              <w:spacing w:before="0" w:line="240" w:lineRule="auto"/>
              <w:jc w:val="both"/>
            </w:pPr>
            <w:r w:rsidRPr="00B059E0">
              <w:rPr>
                <w:color w:val="000000" w:themeColor="text1"/>
              </w:rPr>
              <w:t>Lectura de pseudopalabras</w:t>
            </w:r>
          </w:p>
        </w:tc>
        <w:tc>
          <w:tcPr>
            <w:tcW w:w="554" w:type="pct"/>
            <w:tcBorders>
              <w:top w:val="nil"/>
              <w:left w:val="nil"/>
              <w:bottom w:val="single" w:sz="4" w:space="0" w:color="auto"/>
              <w:right w:val="nil"/>
            </w:tcBorders>
            <w:shd w:val="clear" w:color="auto" w:fill="auto"/>
            <w:vAlign w:val="center"/>
            <w:hideMark/>
          </w:tcPr>
          <w:p w14:paraId="6DDD97F7" w14:textId="77777777" w:rsidR="00A525CF" w:rsidRPr="00B059E0" w:rsidRDefault="00A525CF" w:rsidP="00A525CF">
            <w:pPr>
              <w:pStyle w:val="Correspondencedetails"/>
              <w:spacing w:before="0" w:line="240" w:lineRule="auto"/>
              <w:jc w:val="center"/>
              <w:rPr>
                <w:lang w:val="es-EC"/>
              </w:rPr>
            </w:pPr>
            <w:r w:rsidRPr="00B059E0">
              <w:rPr>
                <w:lang w:val="es-EC"/>
              </w:rPr>
              <w:t>38.38</w:t>
            </w:r>
          </w:p>
          <w:p w14:paraId="691BD8A3" w14:textId="77777777" w:rsidR="00A525CF" w:rsidRPr="00B059E0" w:rsidRDefault="00A525CF" w:rsidP="00A525CF">
            <w:pPr>
              <w:pStyle w:val="Correspondencedetails"/>
              <w:spacing w:before="0" w:line="240" w:lineRule="auto"/>
              <w:jc w:val="center"/>
              <w:rPr>
                <w:lang w:val="es-EC"/>
              </w:rPr>
            </w:pPr>
            <w:r w:rsidRPr="00B059E0">
              <w:rPr>
                <w:lang w:val="es-EC"/>
              </w:rPr>
              <w:t>(14.84)</w:t>
            </w:r>
          </w:p>
        </w:tc>
        <w:tc>
          <w:tcPr>
            <w:tcW w:w="554" w:type="pct"/>
            <w:tcBorders>
              <w:top w:val="nil"/>
              <w:left w:val="nil"/>
              <w:bottom w:val="single" w:sz="4" w:space="0" w:color="auto"/>
              <w:right w:val="nil"/>
            </w:tcBorders>
            <w:shd w:val="clear" w:color="auto" w:fill="auto"/>
            <w:vAlign w:val="center"/>
            <w:hideMark/>
          </w:tcPr>
          <w:p w14:paraId="6C52D36F" w14:textId="77777777" w:rsidR="00A525CF" w:rsidRPr="00B059E0" w:rsidRDefault="00A525CF" w:rsidP="00A525CF">
            <w:pPr>
              <w:pStyle w:val="Correspondencedetails"/>
              <w:spacing w:before="0" w:line="240" w:lineRule="auto"/>
              <w:jc w:val="center"/>
              <w:rPr>
                <w:lang w:val="es-EC"/>
              </w:rPr>
            </w:pPr>
            <w:r w:rsidRPr="00B059E0">
              <w:rPr>
                <w:lang w:val="es-EC"/>
              </w:rPr>
              <w:t>47.52</w:t>
            </w:r>
          </w:p>
          <w:p w14:paraId="40862A95" w14:textId="77777777" w:rsidR="00A525CF" w:rsidRPr="00B059E0" w:rsidRDefault="00A525CF" w:rsidP="00A525CF">
            <w:pPr>
              <w:pStyle w:val="Correspondencedetails"/>
              <w:spacing w:before="0" w:line="240" w:lineRule="auto"/>
              <w:jc w:val="center"/>
              <w:rPr>
                <w:lang w:val="es-EC"/>
              </w:rPr>
            </w:pPr>
            <w:r w:rsidRPr="00B059E0">
              <w:rPr>
                <w:lang w:val="es-EC"/>
              </w:rPr>
              <w:t>(17.34)</w:t>
            </w:r>
          </w:p>
        </w:tc>
        <w:tc>
          <w:tcPr>
            <w:tcW w:w="554" w:type="pct"/>
            <w:tcBorders>
              <w:top w:val="nil"/>
              <w:left w:val="nil"/>
              <w:bottom w:val="single" w:sz="4" w:space="0" w:color="auto"/>
              <w:right w:val="nil"/>
            </w:tcBorders>
            <w:shd w:val="clear" w:color="auto" w:fill="auto"/>
            <w:noWrap/>
            <w:vAlign w:val="center"/>
            <w:hideMark/>
          </w:tcPr>
          <w:p w14:paraId="761C6746" w14:textId="77777777" w:rsidR="00A525CF" w:rsidRPr="00B059E0" w:rsidRDefault="00A525CF" w:rsidP="00A525CF">
            <w:pPr>
              <w:pStyle w:val="Correspondencedetails"/>
              <w:spacing w:before="0" w:line="240" w:lineRule="auto"/>
              <w:jc w:val="center"/>
              <w:rPr>
                <w:lang w:val="es-EC"/>
              </w:rPr>
            </w:pPr>
            <w:r w:rsidRPr="00B059E0">
              <w:rPr>
                <w:lang w:val="es-EC"/>
              </w:rPr>
              <w:t>.005**</w:t>
            </w:r>
          </w:p>
        </w:tc>
        <w:tc>
          <w:tcPr>
            <w:tcW w:w="555" w:type="pct"/>
            <w:tcBorders>
              <w:top w:val="nil"/>
              <w:left w:val="nil"/>
              <w:bottom w:val="single" w:sz="4" w:space="0" w:color="auto"/>
              <w:right w:val="nil"/>
            </w:tcBorders>
            <w:shd w:val="clear" w:color="auto" w:fill="auto"/>
            <w:noWrap/>
            <w:vAlign w:val="center"/>
            <w:hideMark/>
          </w:tcPr>
          <w:p w14:paraId="3AB2DDC5" w14:textId="77777777" w:rsidR="00A525CF" w:rsidRPr="00B059E0" w:rsidRDefault="00A525CF" w:rsidP="00A525CF">
            <w:pPr>
              <w:pStyle w:val="Correspondencedetails"/>
              <w:spacing w:before="0" w:line="240" w:lineRule="auto"/>
              <w:jc w:val="center"/>
              <w:rPr>
                <w:lang w:val="es-EC"/>
              </w:rPr>
            </w:pPr>
            <w:r w:rsidRPr="00B059E0">
              <w:rPr>
                <w:lang w:val="es-EC"/>
              </w:rPr>
              <w:t>.57</w:t>
            </w:r>
          </w:p>
        </w:tc>
      </w:tr>
      <w:tr w:rsidR="00A525CF" w:rsidRPr="00B059E0" w14:paraId="5AC80430" w14:textId="77777777" w:rsidTr="00A525CF">
        <w:trPr>
          <w:trHeight w:val="360"/>
        </w:trPr>
        <w:tc>
          <w:tcPr>
            <w:tcW w:w="1287" w:type="pct"/>
            <w:vMerge w:val="restart"/>
            <w:tcBorders>
              <w:top w:val="single" w:sz="4" w:space="0" w:color="auto"/>
              <w:left w:val="nil"/>
              <w:right w:val="nil"/>
            </w:tcBorders>
            <w:vAlign w:val="center"/>
          </w:tcPr>
          <w:p w14:paraId="470E93AA" w14:textId="77777777" w:rsidR="00A525CF" w:rsidRPr="00B059E0" w:rsidRDefault="00A525CF" w:rsidP="002272BE">
            <w:pPr>
              <w:pStyle w:val="Correspondencedetails"/>
              <w:spacing w:before="0" w:line="240" w:lineRule="auto"/>
              <w:jc w:val="both"/>
            </w:pPr>
            <w:r w:rsidRPr="00B059E0">
              <w:lastRenderedPageBreak/>
              <w:t>Gramatical</w:t>
            </w:r>
          </w:p>
        </w:tc>
        <w:tc>
          <w:tcPr>
            <w:tcW w:w="1496" w:type="pct"/>
            <w:tcBorders>
              <w:top w:val="single" w:sz="4" w:space="0" w:color="auto"/>
              <w:left w:val="nil"/>
              <w:right w:val="nil"/>
            </w:tcBorders>
            <w:shd w:val="clear" w:color="auto" w:fill="auto"/>
            <w:vAlign w:val="center"/>
            <w:hideMark/>
          </w:tcPr>
          <w:p w14:paraId="1543BD4C" w14:textId="77777777" w:rsidR="00A525CF" w:rsidRPr="00B059E0" w:rsidRDefault="00A525CF" w:rsidP="002272BE">
            <w:pPr>
              <w:pStyle w:val="Correspondencedetails"/>
              <w:spacing w:before="0" w:line="240" w:lineRule="auto"/>
              <w:jc w:val="both"/>
            </w:pPr>
            <w:r w:rsidRPr="00B059E0">
              <w:t>Estructura gramatical</w:t>
            </w:r>
          </w:p>
        </w:tc>
        <w:tc>
          <w:tcPr>
            <w:tcW w:w="554" w:type="pct"/>
            <w:tcBorders>
              <w:top w:val="single" w:sz="4" w:space="0" w:color="auto"/>
              <w:left w:val="nil"/>
              <w:right w:val="nil"/>
            </w:tcBorders>
            <w:shd w:val="clear" w:color="auto" w:fill="auto"/>
            <w:vAlign w:val="center"/>
            <w:hideMark/>
          </w:tcPr>
          <w:p w14:paraId="62C1CC99" w14:textId="77777777" w:rsidR="00A525CF" w:rsidRPr="00B059E0" w:rsidRDefault="00A525CF" w:rsidP="00A525CF">
            <w:pPr>
              <w:pStyle w:val="Correspondencedetails"/>
              <w:spacing w:before="0" w:line="240" w:lineRule="auto"/>
              <w:jc w:val="center"/>
              <w:rPr>
                <w:lang w:val="es-EC"/>
              </w:rPr>
            </w:pPr>
            <w:r w:rsidRPr="00B059E0">
              <w:rPr>
                <w:lang w:val="es-EC"/>
              </w:rPr>
              <w:t>11.45</w:t>
            </w:r>
          </w:p>
          <w:p w14:paraId="3FD2E811" w14:textId="77777777" w:rsidR="00A525CF" w:rsidRPr="00B059E0" w:rsidRDefault="00A525CF" w:rsidP="00A525CF">
            <w:pPr>
              <w:pStyle w:val="Correspondencedetails"/>
              <w:spacing w:before="0" w:line="240" w:lineRule="auto"/>
              <w:jc w:val="center"/>
              <w:rPr>
                <w:lang w:val="es-EC"/>
              </w:rPr>
            </w:pPr>
            <w:r w:rsidRPr="00B059E0">
              <w:rPr>
                <w:lang w:val="es-EC"/>
              </w:rPr>
              <w:t>(2.29)</w:t>
            </w:r>
          </w:p>
        </w:tc>
        <w:tc>
          <w:tcPr>
            <w:tcW w:w="554" w:type="pct"/>
            <w:tcBorders>
              <w:top w:val="single" w:sz="4" w:space="0" w:color="auto"/>
              <w:left w:val="nil"/>
              <w:right w:val="nil"/>
            </w:tcBorders>
            <w:shd w:val="clear" w:color="auto" w:fill="auto"/>
            <w:vAlign w:val="center"/>
            <w:hideMark/>
          </w:tcPr>
          <w:p w14:paraId="191DAFE4" w14:textId="77777777" w:rsidR="00A525CF" w:rsidRPr="00B059E0" w:rsidRDefault="00A525CF" w:rsidP="00A525CF">
            <w:pPr>
              <w:pStyle w:val="Correspondencedetails"/>
              <w:spacing w:before="0" w:line="240" w:lineRule="auto"/>
              <w:jc w:val="center"/>
              <w:rPr>
                <w:lang w:val="es-EC"/>
              </w:rPr>
            </w:pPr>
            <w:r w:rsidRPr="00B059E0">
              <w:rPr>
                <w:lang w:val="es-EC"/>
              </w:rPr>
              <w:t>12.13</w:t>
            </w:r>
          </w:p>
          <w:p w14:paraId="22F17DE5" w14:textId="77777777" w:rsidR="00A525CF" w:rsidRPr="00B059E0" w:rsidRDefault="00A525CF" w:rsidP="00A525CF">
            <w:pPr>
              <w:pStyle w:val="Correspondencedetails"/>
              <w:spacing w:before="0" w:line="240" w:lineRule="auto"/>
              <w:jc w:val="center"/>
              <w:rPr>
                <w:lang w:val="es-EC"/>
              </w:rPr>
            </w:pPr>
            <w:r w:rsidRPr="00B059E0">
              <w:rPr>
                <w:lang w:val="es-EC"/>
              </w:rPr>
              <w:t>(2.8)</w:t>
            </w:r>
          </w:p>
        </w:tc>
        <w:tc>
          <w:tcPr>
            <w:tcW w:w="554" w:type="pct"/>
            <w:tcBorders>
              <w:top w:val="single" w:sz="4" w:space="0" w:color="auto"/>
              <w:left w:val="nil"/>
              <w:right w:val="nil"/>
            </w:tcBorders>
            <w:shd w:val="clear" w:color="auto" w:fill="auto"/>
            <w:noWrap/>
            <w:vAlign w:val="center"/>
            <w:hideMark/>
          </w:tcPr>
          <w:p w14:paraId="25777948" w14:textId="77777777" w:rsidR="00A525CF" w:rsidRPr="00B059E0" w:rsidRDefault="00A525CF" w:rsidP="00A525CF">
            <w:pPr>
              <w:pStyle w:val="Correspondencedetails"/>
              <w:spacing w:before="0" w:line="240" w:lineRule="auto"/>
              <w:jc w:val="center"/>
              <w:rPr>
                <w:lang w:val="es-EC"/>
              </w:rPr>
            </w:pPr>
            <w:r w:rsidRPr="00B059E0">
              <w:rPr>
                <w:lang w:val="es-EC"/>
              </w:rPr>
              <w:t>.110</w:t>
            </w:r>
          </w:p>
        </w:tc>
        <w:tc>
          <w:tcPr>
            <w:tcW w:w="555" w:type="pct"/>
            <w:tcBorders>
              <w:top w:val="single" w:sz="4" w:space="0" w:color="auto"/>
              <w:left w:val="nil"/>
              <w:right w:val="nil"/>
            </w:tcBorders>
            <w:shd w:val="clear" w:color="auto" w:fill="auto"/>
            <w:noWrap/>
            <w:vAlign w:val="center"/>
            <w:hideMark/>
          </w:tcPr>
          <w:p w14:paraId="737496BF" w14:textId="77777777" w:rsidR="00A525CF" w:rsidRPr="00B059E0" w:rsidRDefault="00A525CF" w:rsidP="00A525CF">
            <w:pPr>
              <w:pStyle w:val="Correspondencedetails"/>
              <w:spacing w:before="0" w:line="240" w:lineRule="auto"/>
              <w:jc w:val="center"/>
              <w:rPr>
                <w:lang w:val="es-EC"/>
              </w:rPr>
            </w:pPr>
            <w:r w:rsidRPr="00B059E0">
              <w:rPr>
                <w:lang w:val="es-EC"/>
              </w:rPr>
              <w:t>.26</w:t>
            </w:r>
          </w:p>
        </w:tc>
      </w:tr>
      <w:tr w:rsidR="00A525CF" w:rsidRPr="00B059E0" w14:paraId="49A07E06" w14:textId="77777777" w:rsidTr="00A525CF">
        <w:trPr>
          <w:trHeight w:val="360"/>
        </w:trPr>
        <w:tc>
          <w:tcPr>
            <w:tcW w:w="1287" w:type="pct"/>
            <w:vMerge/>
            <w:tcBorders>
              <w:left w:val="nil"/>
              <w:bottom w:val="single" w:sz="4" w:space="0" w:color="auto"/>
              <w:right w:val="nil"/>
            </w:tcBorders>
            <w:vAlign w:val="center"/>
          </w:tcPr>
          <w:p w14:paraId="4655875E" w14:textId="77777777" w:rsidR="00A525CF" w:rsidRPr="00B059E0" w:rsidRDefault="00A525CF" w:rsidP="002272BE">
            <w:pPr>
              <w:pStyle w:val="Correspondencedetails"/>
              <w:spacing w:before="0" w:line="240" w:lineRule="auto"/>
              <w:jc w:val="both"/>
              <w:rPr>
                <w:color w:val="000000" w:themeColor="text1"/>
              </w:rPr>
            </w:pPr>
          </w:p>
        </w:tc>
        <w:tc>
          <w:tcPr>
            <w:tcW w:w="1496" w:type="pct"/>
            <w:tcBorders>
              <w:top w:val="nil"/>
              <w:left w:val="nil"/>
              <w:bottom w:val="single" w:sz="4" w:space="0" w:color="auto"/>
              <w:right w:val="nil"/>
            </w:tcBorders>
            <w:shd w:val="clear" w:color="auto" w:fill="auto"/>
            <w:vAlign w:val="center"/>
            <w:hideMark/>
          </w:tcPr>
          <w:p w14:paraId="5A370A7F" w14:textId="77777777" w:rsidR="00A525CF" w:rsidRPr="00B059E0" w:rsidRDefault="00A525CF" w:rsidP="002272BE">
            <w:pPr>
              <w:pStyle w:val="Correspondencedetails"/>
              <w:spacing w:before="0" w:line="240" w:lineRule="auto"/>
              <w:jc w:val="both"/>
              <w:rPr>
                <w:lang w:val="es-EC"/>
              </w:rPr>
            </w:pPr>
            <w:r w:rsidRPr="00B059E0">
              <w:rPr>
                <w:color w:val="000000" w:themeColor="text1"/>
              </w:rPr>
              <w:t>Signos de puntuación</w:t>
            </w:r>
          </w:p>
        </w:tc>
        <w:tc>
          <w:tcPr>
            <w:tcW w:w="554" w:type="pct"/>
            <w:tcBorders>
              <w:top w:val="nil"/>
              <w:left w:val="nil"/>
              <w:bottom w:val="single" w:sz="4" w:space="0" w:color="auto"/>
              <w:right w:val="nil"/>
            </w:tcBorders>
            <w:shd w:val="clear" w:color="auto" w:fill="auto"/>
            <w:vAlign w:val="center"/>
            <w:hideMark/>
          </w:tcPr>
          <w:p w14:paraId="0C9A92D1" w14:textId="77777777" w:rsidR="00A525CF" w:rsidRPr="00B059E0" w:rsidRDefault="00A525CF" w:rsidP="00A525CF">
            <w:pPr>
              <w:pStyle w:val="Correspondencedetails"/>
              <w:spacing w:before="0" w:line="240" w:lineRule="auto"/>
              <w:jc w:val="center"/>
              <w:rPr>
                <w:lang w:val="es-EC"/>
              </w:rPr>
            </w:pPr>
            <w:r w:rsidRPr="00B059E0">
              <w:rPr>
                <w:lang w:val="es-EC"/>
              </w:rPr>
              <w:t>8.4</w:t>
            </w:r>
          </w:p>
          <w:p w14:paraId="20FF05E3" w14:textId="77777777" w:rsidR="00A525CF" w:rsidRPr="00B059E0" w:rsidRDefault="00A525CF" w:rsidP="00A525CF">
            <w:pPr>
              <w:pStyle w:val="Correspondencedetails"/>
              <w:spacing w:before="0" w:line="240" w:lineRule="auto"/>
              <w:jc w:val="center"/>
              <w:rPr>
                <w:lang w:val="es-EC"/>
              </w:rPr>
            </w:pPr>
            <w:r w:rsidRPr="00B059E0">
              <w:rPr>
                <w:lang w:val="es-EC"/>
              </w:rPr>
              <w:t>(5.23)</w:t>
            </w:r>
          </w:p>
        </w:tc>
        <w:tc>
          <w:tcPr>
            <w:tcW w:w="554" w:type="pct"/>
            <w:tcBorders>
              <w:top w:val="nil"/>
              <w:left w:val="nil"/>
              <w:bottom w:val="single" w:sz="4" w:space="0" w:color="auto"/>
              <w:right w:val="nil"/>
            </w:tcBorders>
            <w:shd w:val="clear" w:color="auto" w:fill="auto"/>
            <w:vAlign w:val="center"/>
            <w:hideMark/>
          </w:tcPr>
          <w:p w14:paraId="7291A483" w14:textId="77777777" w:rsidR="00A525CF" w:rsidRPr="00B059E0" w:rsidRDefault="00A525CF" w:rsidP="00A525CF">
            <w:pPr>
              <w:pStyle w:val="Correspondencedetails"/>
              <w:spacing w:before="0" w:line="240" w:lineRule="auto"/>
              <w:jc w:val="center"/>
              <w:rPr>
                <w:lang w:val="es-EC"/>
              </w:rPr>
            </w:pPr>
            <w:r w:rsidRPr="00B059E0">
              <w:rPr>
                <w:lang w:val="es-EC"/>
              </w:rPr>
              <w:t>12.5</w:t>
            </w:r>
          </w:p>
          <w:p w14:paraId="586127A1" w14:textId="77777777" w:rsidR="00A525CF" w:rsidRPr="00B059E0" w:rsidRDefault="00A525CF" w:rsidP="00A525CF">
            <w:pPr>
              <w:pStyle w:val="Correspondencedetails"/>
              <w:spacing w:before="0" w:line="240" w:lineRule="auto"/>
              <w:jc w:val="center"/>
              <w:rPr>
                <w:lang w:val="es-EC"/>
              </w:rPr>
            </w:pPr>
            <w:r w:rsidRPr="00B059E0">
              <w:rPr>
                <w:lang w:val="es-EC"/>
              </w:rPr>
              <w:t>(8.91)</w:t>
            </w:r>
          </w:p>
        </w:tc>
        <w:tc>
          <w:tcPr>
            <w:tcW w:w="554" w:type="pct"/>
            <w:tcBorders>
              <w:top w:val="nil"/>
              <w:left w:val="nil"/>
              <w:bottom w:val="single" w:sz="4" w:space="0" w:color="auto"/>
              <w:right w:val="nil"/>
            </w:tcBorders>
            <w:shd w:val="clear" w:color="auto" w:fill="auto"/>
            <w:noWrap/>
            <w:vAlign w:val="center"/>
            <w:hideMark/>
          </w:tcPr>
          <w:p w14:paraId="223A3703" w14:textId="77777777" w:rsidR="00A525CF" w:rsidRPr="00B059E0" w:rsidRDefault="00A525CF" w:rsidP="00A525CF">
            <w:pPr>
              <w:pStyle w:val="Correspondencedetails"/>
              <w:spacing w:before="0" w:line="240" w:lineRule="auto"/>
              <w:jc w:val="center"/>
              <w:rPr>
                <w:lang w:val="es-EC"/>
              </w:rPr>
            </w:pPr>
            <w:r w:rsidRPr="00B059E0">
              <w:rPr>
                <w:lang w:val="es-EC"/>
              </w:rPr>
              <w:t>.009**</w:t>
            </w:r>
          </w:p>
        </w:tc>
        <w:tc>
          <w:tcPr>
            <w:tcW w:w="555" w:type="pct"/>
            <w:tcBorders>
              <w:top w:val="nil"/>
              <w:left w:val="nil"/>
              <w:bottom w:val="single" w:sz="4" w:space="0" w:color="auto"/>
              <w:right w:val="nil"/>
            </w:tcBorders>
            <w:shd w:val="clear" w:color="auto" w:fill="auto"/>
            <w:noWrap/>
            <w:vAlign w:val="center"/>
            <w:hideMark/>
          </w:tcPr>
          <w:p w14:paraId="2E5D3AAB" w14:textId="77777777" w:rsidR="00A525CF" w:rsidRPr="00B059E0" w:rsidRDefault="00A525CF" w:rsidP="00A525CF">
            <w:pPr>
              <w:pStyle w:val="Correspondencedetails"/>
              <w:spacing w:before="0" w:line="240" w:lineRule="auto"/>
              <w:jc w:val="center"/>
              <w:rPr>
                <w:lang w:val="es-EC"/>
              </w:rPr>
            </w:pPr>
            <w:r w:rsidRPr="00B059E0">
              <w:rPr>
                <w:lang w:val="es-EC"/>
              </w:rPr>
              <w:t>.56</w:t>
            </w:r>
          </w:p>
        </w:tc>
      </w:tr>
      <w:tr w:rsidR="00A525CF" w:rsidRPr="00B059E0" w14:paraId="28FC2B5E" w14:textId="77777777" w:rsidTr="00A525CF">
        <w:trPr>
          <w:trHeight w:val="360"/>
        </w:trPr>
        <w:tc>
          <w:tcPr>
            <w:tcW w:w="1287" w:type="pct"/>
            <w:vMerge w:val="restart"/>
            <w:tcBorders>
              <w:top w:val="single" w:sz="4" w:space="0" w:color="auto"/>
              <w:left w:val="nil"/>
              <w:right w:val="nil"/>
            </w:tcBorders>
            <w:vAlign w:val="center"/>
          </w:tcPr>
          <w:p w14:paraId="2D0F8618" w14:textId="77777777" w:rsidR="00A525CF" w:rsidRPr="00B059E0" w:rsidRDefault="00A525CF" w:rsidP="002272BE">
            <w:pPr>
              <w:pStyle w:val="Correspondencedetails"/>
              <w:spacing w:before="0" w:line="240" w:lineRule="auto"/>
              <w:jc w:val="both"/>
              <w:rPr>
                <w:color w:val="000000" w:themeColor="text1"/>
              </w:rPr>
            </w:pPr>
            <w:r w:rsidRPr="00B059E0">
              <w:rPr>
                <w:color w:val="000000" w:themeColor="text1"/>
              </w:rPr>
              <w:t>Semántico</w:t>
            </w:r>
          </w:p>
        </w:tc>
        <w:tc>
          <w:tcPr>
            <w:tcW w:w="1496" w:type="pct"/>
            <w:tcBorders>
              <w:top w:val="single" w:sz="4" w:space="0" w:color="auto"/>
              <w:left w:val="nil"/>
              <w:bottom w:val="nil"/>
              <w:right w:val="nil"/>
            </w:tcBorders>
            <w:shd w:val="clear" w:color="auto" w:fill="auto"/>
            <w:vAlign w:val="center"/>
            <w:hideMark/>
          </w:tcPr>
          <w:p w14:paraId="47981F5C" w14:textId="77777777" w:rsidR="00A525CF" w:rsidRPr="00B059E0" w:rsidRDefault="00A525CF" w:rsidP="002272BE">
            <w:pPr>
              <w:pStyle w:val="Correspondencedetails"/>
              <w:spacing w:before="0" w:line="240" w:lineRule="auto"/>
              <w:jc w:val="both"/>
            </w:pPr>
            <w:r w:rsidRPr="00B059E0">
              <w:rPr>
                <w:color w:val="000000" w:themeColor="text1"/>
              </w:rPr>
              <w:t>Comprensión de oraciones</w:t>
            </w:r>
          </w:p>
        </w:tc>
        <w:tc>
          <w:tcPr>
            <w:tcW w:w="554" w:type="pct"/>
            <w:tcBorders>
              <w:top w:val="single" w:sz="4" w:space="0" w:color="auto"/>
              <w:left w:val="nil"/>
              <w:bottom w:val="nil"/>
              <w:right w:val="nil"/>
            </w:tcBorders>
            <w:shd w:val="clear" w:color="auto" w:fill="auto"/>
            <w:vAlign w:val="center"/>
            <w:hideMark/>
          </w:tcPr>
          <w:p w14:paraId="31F7E1B1" w14:textId="77777777" w:rsidR="00A525CF" w:rsidRPr="00B059E0" w:rsidRDefault="00A525CF" w:rsidP="00A525CF">
            <w:pPr>
              <w:pStyle w:val="Correspondencedetails"/>
              <w:spacing w:before="0" w:line="240" w:lineRule="auto"/>
              <w:jc w:val="center"/>
              <w:rPr>
                <w:lang w:val="es-EC"/>
              </w:rPr>
            </w:pPr>
            <w:r w:rsidRPr="00B059E0">
              <w:rPr>
                <w:lang w:val="es-EC"/>
              </w:rPr>
              <w:t>13.82</w:t>
            </w:r>
          </w:p>
          <w:p w14:paraId="0D9A11E7" w14:textId="77777777" w:rsidR="00A525CF" w:rsidRPr="00B059E0" w:rsidRDefault="00A525CF" w:rsidP="00A525CF">
            <w:pPr>
              <w:pStyle w:val="Correspondencedetails"/>
              <w:spacing w:before="0" w:line="240" w:lineRule="auto"/>
              <w:jc w:val="center"/>
              <w:rPr>
                <w:lang w:val="es-EC"/>
              </w:rPr>
            </w:pPr>
            <w:r w:rsidRPr="00B059E0">
              <w:rPr>
                <w:lang w:val="es-EC"/>
              </w:rPr>
              <w:t>(1.93)</w:t>
            </w:r>
          </w:p>
        </w:tc>
        <w:tc>
          <w:tcPr>
            <w:tcW w:w="554" w:type="pct"/>
            <w:tcBorders>
              <w:top w:val="single" w:sz="4" w:space="0" w:color="auto"/>
              <w:left w:val="nil"/>
              <w:bottom w:val="nil"/>
              <w:right w:val="nil"/>
            </w:tcBorders>
            <w:shd w:val="clear" w:color="auto" w:fill="auto"/>
            <w:vAlign w:val="center"/>
            <w:hideMark/>
          </w:tcPr>
          <w:p w14:paraId="6AAD9326" w14:textId="77777777" w:rsidR="00A525CF" w:rsidRPr="00B059E0" w:rsidRDefault="00A525CF" w:rsidP="00A525CF">
            <w:pPr>
              <w:pStyle w:val="Correspondencedetails"/>
              <w:spacing w:before="0" w:line="240" w:lineRule="auto"/>
              <w:jc w:val="center"/>
              <w:rPr>
                <w:lang w:val="es-EC"/>
              </w:rPr>
            </w:pPr>
            <w:r w:rsidRPr="00B059E0">
              <w:rPr>
                <w:lang w:val="es-EC"/>
              </w:rPr>
              <w:t>14.8</w:t>
            </w:r>
          </w:p>
          <w:p w14:paraId="1FF2F68B" w14:textId="77777777" w:rsidR="00A525CF" w:rsidRPr="00B059E0" w:rsidRDefault="00A525CF" w:rsidP="00A525CF">
            <w:pPr>
              <w:pStyle w:val="Correspondencedetails"/>
              <w:spacing w:before="0" w:line="240" w:lineRule="auto"/>
              <w:jc w:val="center"/>
              <w:rPr>
                <w:lang w:val="es-EC"/>
              </w:rPr>
            </w:pPr>
            <w:r w:rsidRPr="00B059E0">
              <w:rPr>
                <w:lang w:val="es-EC"/>
              </w:rPr>
              <w:t>(1.45)</w:t>
            </w:r>
          </w:p>
        </w:tc>
        <w:tc>
          <w:tcPr>
            <w:tcW w:w="554" w:type="pct"/>
            <w:tcBorders>
              <w:top w:val="single" w:sz="4" w:space="0" w:color="auto"/>
              <w:left w:val="nil"/>
              <w:bottom w:val="nil"/>
              <w:right w:val="nil"/>
            </w:tcBorders>
            <w:shd w:val="clear" w:color="auto" w:fill="auto"/>
            <w:noWrap/>
            <w:vAlign w:val="center"/>
            <w:hideMark/>
          </w:tcPr>
          <w:p w14:paraId="46E8EEE3" w14:textId="77777777" w:rsidR="00A525CF" w:rsidRPr="00B059E0" w:rsidRDefault="00A525CF" w:rsidP="00A525CF">
            <w:pPr>
              <w:pStyle w:val="Correspondencedetails"/>
              <w:spacing w:before="0" w:line="240" w:lineRule="auto"/>
              <w:jc w:val="center"/>
              <w:rPr>
                <w:lang w:val="es-EC"/>
              </w:rPr>
            </w:pPr>
            <w:r w:rsidRPr="00B059E0">
              <w:rPr>
                <w:lang w:val="es-EC"/>
              </w:rPr>
              <w:t>.002**</w:t>
            </w:r>
          </w:p>
        </w:tc>
        <w:tc>
          <w:tcPr>
            <w:tcW w:w="555" w:type="pct"/>
            <w:tcBorders>
              <w:top w:val="single" w:sz="4" w:space="0" w:color="auto"/>
              <w:left w:val="nil"/>
              <w:bottom w:val="nil"/>
              <w:right w:val="nil"/>
            </w:tcBorders>
            <w:shd w:val="clear" w:color="auto" w:fill="auto"/>
            <w:noWrap/>
            <w:vAlign w:val="center"/>
            <w:hideMark/>
          </w:tcPr>
          <w:p w14:paraId="712163BD" w14:textId="77777777" w:rsidR="00A525CF" w:rsidRPr="00B059E0" w:rsidRDefault="00A525CF" w:rsidP="00A525CF">
            <w:pPr>
              <w:pStyle w:val="Correspondencedetails"/>
              <w:spacing w:before="0" w:line="240" w:lineRule="auto"/>
              <w:jc w:val="center"/>
              <w:rPr>
                <w:lang w:val="es-EC"/>
              </w:rPr>
            </w:pPr>
            <w:r w:rsidRPr="00B059E0">
              <w:rPr>
                <w:lang w:val="es-EC"/>
              </w:rPr>
              <w:t>.57</w:t>
            </w:r>
          </w:p>
        </w:tc>
      </w:tr>
      <w:tr w:rsidR="00A525CF" w:rsidRPr="00B059E0" w14:paraId="3B6C589B" w14:textId="77777777" w:rsidTr="00A525CF">
        <w:trPr>
          <w:trHeight w:val="360"/>
        </w:trPr>
        <w:tc>
          <w:tcPr>
            <w:tcW w:w="1287" w:type="pct"/>
            <w:vMerge/>
            <w:tcBorders>
              <w:left w:val="nil"/>
              <w:right w:val="nil"/>
            </w:tcBorders>
            <w:vAlign w:val="center"/>
          </w:tcPr>
          <w:p w14:paraId="6D188997" w14:textId="77777777" w:rsidR="00A525CF" w:rsidRPr="00B059E0" w:rsidRDefault="00A525CF" w:rsidP="002272BE">
            <w:pPr>
              <w:pStyle w:val="Correspondencedetails"/>
              <w:spacing w:before="0" w:line="240" w:lineRule="auto"/>
              <w:jc w:val="both"/>
            </w:pPr>
          </w:p>
        </w:tc>
        <w:tc>
          <w:tcPr>
            <w:tcW w:w="1496" w:type="pct"/>
            <w:tcBorders>
              <w:top w:val="nil"/>
              <w:left w:val="nil"/>
              <w:bottom w:val="nil"/>
              <w:right w:val="nil"/>
            </w:tcBorders>
            <w:shd w:val="clear" w:color="auto" w:fill="auto"/>
            <w:vAlign w:val="center"/>
          </w:tcPr>
          <w:p w14:paraId="61635AE4" w14:textId="77777777" w:rsidR="00A525CF" w:rsidRPr="00B059E0" w:rsidRDefault="00A525CF" w:rsidP="002272BE">
            <w:pPr>
              <w:pStyle w:val="Correspondencedetails"/>
              <w:spacing w:before="0" w:line="240" w:lineRule="auto"/>
              <w:jc w:val="both"/>
              <w:rPr>
                <w:color w:val="000000" w:themeColor="text1"/>
              </w:rPr>
            </w:pPr>
            <w:r w:rsidRPr="00B059E0">
              <w:t>Comprensión de texto</w:t>
            </w:r>
          </w:p>
        </w:tc>
        <w:tc>
          <w:tcPr>
            <w:tcW w:w="554" w:type="pct"/>
            <w:tcBorders>
              <w:top w:val="nil"/>
              <w:left w:val="nil"/>
              <w:bottom w:val="nil"/>
              <w:right w:val="nil"/>
            </w:tcBorders>
            <w:shd w:val="clear" w:color="auto" w:fill="auto"/>
            <w:vAlign w:val="center"/>
          </w:tcPr>
          <w:p w14:paraId="3BA2D28B" w14:textId="77777777" w:rsidR="00A525CF" w:rsidRPr="00B059E0" w:rsidRDefault="00A525CF" w:rsidP="00A525CF">
            <w:pPr>
              <w:pStyle w:val="Correspondencedetails"/>
              <w:spacing w:before="0" w:line="240" w:lineRule="auto"/>
              <w:jc w:val="center"/>
              <w:rPr>
                <w:lang w:val="es-EC"/>
              </w:rPr>
            </w:pPr>
            <w:r w:rsidRPr="00B059E0">
              <w:rPr>
                <w:lang w:val="es-EC"/>
              </w:rPr>
              <w:t>9.42</w:t>
            </w:r>
          </w:p>
          <w:p w14:paraId="7073DFAE" w14:textId="77777777" w:rsidR="00A525CF" w:rsidRPr="00B059E0" w:rsidRDefault="00A525CF" w:rsidP="00A525CF">
            <w:pPr>
              <w:pStyle w:val="Correspondencedetails"/>
              <w:spacing w:before="0" w:line="240" w:lineRule="auto"/>
              <w:jc w:val="center"/>
              <w:rPr>
                <w:lang w:val="es-EC"/>
              </w:rPr>
            </w:pPr>
            <w:r w:rsidRPr="00B059E0">
              <w:rPr>
                <w:lang w:val="es-EC"/>
              </w:rPr>
              <w:t>(2.99)</w:t>
            </w:r>
          </w:p>
        </w:tc>
        <w:tc>
          <w:tcPr>
            <w:tcW w:w="554" w:type="pct"/>
            <w:tcBorders>
              <w:top w:val="nil"/>
              <w:left w:val="nil"/>
              <w:bottom w:val="nil"/>
              <w:right w:val="nil"/>
            </w:tcBorders>
            <w:shd w:val="clear" w:color="auto" w:fill="auto"/>
            <w:vAlign w:val="center"/>
          </w:tcPr>
          <w:p w14:paraId="28591777" w14:textId="77777777" w:rsidR="00A525CF" w:rsidRPr="00B059E0" w:rsidRDefault="00A525CF" w:rsidP="00A525CF">
            <w:pPr>
              <w:pStyle w:val="Correspondencedetails"/>
              <w:spacing w:before="0" w:line="240" w:lineRule="auto"/>
              <w:jc w:val="center"/>
              <w:rPr>
                <w:lang w:val="es-EC"/>
              </w:rPr>
            </w:pPr>
            <w:r w:rsidRPr="00B059E0">
              <w:rPr>
                <w:lang w:val="es-EC"/>
              </w:rPr>
              <w:t>10.55</w:t>
            </w:r>
          </w:p>
          <w:p w14:paraId="7CE5F071" w14:textId="77777777" w:rsidR="00A525CF" w:rsidRPr="00B059E0" w:rsidRDefault="00A525CF" w:rsidP="00A525CF">
            <w:pPr>
              <w:pStyle w:val="Correspondencedetails"/>
              <w:spacing w:before="0" w:line="240" w:lineRule="auto"/>
              <w:jc w:val="center"/>
              <w:rPr>
                <w:lang w:val="es-EC"/>
              </w:rPr>
            </w:pPr>
            <w:r w:rsidRPr="00B059E0">
              <w:rPr>
                <w:lang w:val="es-EC"/>
              </w:rPr>
              <w:t>(2.9)</w:t>
            </w:r>
          </w:p>
        </w:tc>
        <w:tc>
          <w:tcPr>
            <w:tcW w:w="554" w:type="pct"/>
            <w:tcBorders>
              <w:top w:val="nil"/>
              <w:left w:val="nil"/>
              <w:bottom w:val="nil"/>
              <w:right w:val="nil"/>
            </w:tcBorders>
            <w:shd w:val="clear" w:color="auto" w:fill="auto"/>
            <w:noWrap/>
            <w:vAlign w:val="center"/>
          </w:tcPr>
          <w:p w14:paraId="1C461271" w14:textId="77777777" w:rsidR="00A525CF" w:rsidRPr="00B059E0" w:rsidRDefault="00A525CF" w:rsidP="00A525CF">
            <w:pPr>
              <w:pStyle w:val="Correspondencedetails"/>
              <w:spacing w:before="0" w:line="240" w:lineRule="auto"/>
              <w:jc w:val="center"/>
              <w:rPr>
                <w:lang w:val="es-EC"/>
              </w:rPr>
            </w:pPr>
            <w:r w:rsidRPr="00B059E0">
              <w:rPr>
                <w:lang w:val="es-EC"/>
              </w:rPr>
              <w:t>.041*</w:t>
            </w:r>
          </w:p>
        </w:tc>
        <w:tc>
          <w:tcPr>
            <w:tcW w:w="555" w:type="pct"/>
            <w:tcBorders>
              <w:top w:val="nil"/>
              <w:left w:val="nil"/>
              <w:bottom w:val="nil"/>
              <w:right w:val="nil"/>
            </w:tcBorders>
            <w:shd w:val="clear" w:color="auto" w:fill="auto"/>
            <w:noWrap/>
            <w:vAlign w:val="center"/>
          </w:tcPr>
          <w:p w14:paraId="473E4866" w14:textId="77777777" w:rsidR="00A525CF" w:rsidRPr="00B059E0" w:rsidRDefault="00A525CF" w:rsidP="00A525CF">
            <w:pPr>
              <w:pStyle w:val="Correspondencedetails"/>
              <w:spacing w:before="0" w:line="240" w:lineRule="auto"/>
              <w:jc w:val="center"/>
              <w:rPr>
                <w:lang w:val="es-EC"/>
              </w:rPr>
            </w:pPr>
            <w:r w:rsidRPr="00B059E0">
              <w:rPr>
                <w:lang w:val="es-EC"/>
              </w:rPr>
              <w:t>.38</w:t>
            </w:r>
          </w:p>
        </w:tc>
      </w:tr>
      <w:tr w:rsidR="00A525CF" w:rsidRPr="00B059E0" w14:paraId="0E6EB83C" w14:textId="77777777" w:rsidTr="00A525CF">
        <w:trPr>
          <w:trHeight w:val="360"/>
        </w:trPr>
        <w:tc>
          <w:tcPr>
            <w:tcW w:w="1287" w:type="pct"/>
            <w:vMerge/>
            <w:tcBorders>
              <w:left w:val="nil"/>
              <w:bottom w:val="nil"/>
              <w:right w:val="nil"/>
            </w:tcBorders>
            <w:vAlign w:val="center"/>
          </w:tcPr>
          <w:p w14:paraId="46900D32" w14:textId="77777777" w:rsidR="00A525CF" w:rsidRPr="00B059E0" w:rsidRDefault="00A525CF" w:rsidP="002272BE">
            <w:pPr>
              <w:pStyle w:val="Correspondencedetails"/>
              <w:spacing w:before="0" w:line="240" w:lineRule="auto"/>
              <w:jc w:val="both"/>
            </w:pPr>
          </w:p>
        </w:tc>
        <w:tc>
          <w:tcPr>
            <w:tcW w:w="1496" w:type="pct"/>
            <w:tcBorders>
              <w:top w:val="nil"/>
              <w:left w:val="nil"/>
              <w:bottom w:val="nil"/>
              <w:right w:val="nil"/>
            </w:tcBorders>
            <w:shd w:val="clear" w:color="auto" w:fill="auto"/>
            <w:vAlign w:val="center"/>
            <w:hideMark/>
          </w:tcPr>
          <w:p w14:paraId="1F571DAB" w14:textId="77777777" w:rsidR="00A525CF" w:rsidRPr="00B059E0" w:rsidRDefault="00A525CF" w:rsidP="002272BE">
            <w:pPr>
              <w:pStyle w:val="Correspondencedetails"/>
              <w:spacing w:before="0" w:line="240" w:lineRule="auto"/>
              <w:jc w:val="both"/>
            </w:pPr>
            <w:r w:rsidRPr="00B059E0">
              <w:t>Comprensión oral</w:t>
            </w:r>
          </w:p>
        </w:tc>
        <w:tc>
          <w:tcPr>
            <w:tcW w:w="554" w:type="pct"/>
            <w:tcBorders>
              <w:top w:val="nil"/>
              <w:left w:val="nil"/>
              <w:bottom w:val="nil"/>
              <w:right w:val="nil"/>
            </w:tcBorders>
            <w:shd w:val="clear" w:color="auto" w:fill="auto"/>
            <w:vAlign w:val="center"/>
            <w:hideMark/>
          </w:tcPr>
          <w:p w14:paraId="6C19EF2D" w14:textId="77777777" w:rsidR="00A525CF" w:rsidRPr="00B059E0" w:rsidRDefault="00A525CF" w:rsidP="00A525CF">
            <w:pPr>
              <w:pStyle w:val="Correspondencedetails"/>
              <w:spacing w:before="0" w:line="240" w:lineRule="auto"/>
              <w:jc w:val="center"/>
              <w:rPr>
                <w:lang w:val="es-EC"/>
              </w:rPr>
            </w:pPr>
            <w:r w:rsidRPr="00B059E0">
              <w:rPr>
                <w:lang w:val="es-EC"/>
              </w:rPr>
              <w:t>3.02</w:t>
            </w:r>
          </w:p>
          <w:p w14:paraId="39F98B2F" w14:textId="77777777" w:rsidR="00A525CF" w:rsidRPr="00B059E0" w:rsidRDefault="00A525CF" w:rsidP="00A525CF">
            <w:pPr>
              <w:pStyle w:val="Correspondencedetails"/>
              <w:spacing w:before="0" w:line="240" w:lineRule="auto"/>
              <w:jc w:val="center"/>
              <w:rPr>
                <w:lang w:val="es-EC"/>
              </w:rPr>
            </w:pPr>
            <w:r w:rsidRPr="00B059E0">
              <w:rPr>
                <w:lang w:val="es-EC"/>
              </w:rPr>
              <w:t>(1.58)</w:t>
            </w:r>
          </w:p>
        </w:tc>
        <w:tc>
          <w:tcPr>
            <w:tcW w:w="554" w:type="pct"/>
            <w:tcBorders>
              <w:top w:val="nil"/>
              <w:left w:val="nil"/>
              <w:bottom w:val="nil"/>
              <w:right w:val="nil"/>
            </w:tcBorders>
            <w:shd w:val="clear" w:color="auto" w:fill="auto"/>
            <w:vAlign w:val="center"/>
            <w:hideMark/>
          </w:tcPr>
          <w:p w14:paraId="355D4B0A" w14:textId="77777777" w:rsidR="00A525CF" w:rsidRPr="00B059E0" w:rsidRDefault="00A525CF" w:rsidP="00A525CF">
            <w:pPr>
              <w:pStyle w:val="Correspondencedetails"/>
              <w:spacing w:before="0" w:line="240" w:lineRule="auto"/>
              <w:jc w:val="center"/>
              <w:rPr>
                <w:lang w:val="es-EC"/>
              </w:rPr>
            </w:pPr>
            <w:r w:rsidRPr="00B059E0">
              <w:rPr>
                <w:lang w:val="es-EC"/>
              </w:rPr>
              <w:t>3.35</w:t>
            </w:r>
          </w:p>
          <w:p w14:paraId="5714849D" w14:textId="77777777" w:rsidR="00A525CF" w:rsidRPr="00B059E0" w:rsidRDefault="00A525CF" w:rsidP="00A525CF">
            <w:pPr>
              <w:pStyle w:val="Correspondencedetails"/>
              <w:spacing w:before="0" w:line="240" w:lineRule="auto"/>
              <w:jc w:val="center"/>
              <w:rPr>
                <w:lang w:val="es-EC"/>
              </w:rPr>
            </w:pPr>
            <w:r w:rsidRPr="00B059E0">
              <w:rPr>
                <w:lang w:val="es-EC"/>
              </w:rPr>
              <w:t>(1.58)</w:t>
            </w:r>
          </w:p>
        </w:tc>
        <w:tc>
          <w:tcPr>
            <w:tcW w:w="554" w:type="pct"/>
            <w:tcBorders>
              <w:top w:val="nil"/>
              <w:left w:val="nil"/>
              <w:bottom w:val="nil"/>
              <w:right w:val="nil"/>
            </w:tcBorders>
            <w:shd w:val="clear" w:color="auto" w:fill="auto"/>
            <w:noWrap/>
            <w:vAlign w:val="center"/>
            <w:hideMark/>
          </w:tcPr>
          <w:p w14:paraId="49306DE6" w14:textId="77777777" w:rsidR="00A525CF" w:rsidRPr="00B059E0" w:rsidRDefault="00A525CF" w:rsidP="00A525CF">
            <w:pPr>
              <w:pStyle w:val="Correspondencedetails"/>
              <w:spacing w:before="0" w:line="240" w:lineRule="auto"/>
              <w:jc w:val="center"/>
              <w:rPr>
                <w:lang w:val="es-EC"/>
              </w:rPr>
            </w:pPr>
            <w:r w:rsidRPr="00B059E0">
              <w:rPr>
                <w:lang w:val="es-EC"/>
              </w:rPr>
              <w:t>.110</w:t>
            </w:r>
          </w:p>
        </w:tc>
        <w:tc>
          <w:tcPr>
            <w:tcW w:w="555" w:type="pct"/>
            <w:tcBorders>
              <w:top w:val="nil"/>
              <w:left w:val="nil"/>
              <w:bottom w:val="nil"/>
              <w:right w:val="nil"/>
            </w:tcBorders>
            <w:shd w:val="clear" w:color="auto" w:fill="auto"/>
            <w:noWrap/>
            <w:vAlign w:val="center"/>
            <w:hideMark/>
          </w:tcPr>
          <w:p w14:paraId="61F4FBDA" w14:textId="77777777" w:rsidR="00A525CF" w:rsidRPr="00B059E0" w:rsidRDefault="00A525CF" w:rsidP="00A525CF">
            <w:pPr>
              <w:pStyle w:val="Correspondencedetails"/>
              <w:spacing w:before="0" w:line="240" w:lineRule="auto"/>
              <w:jc w:val="center"/>
              <w:rPr>
                <w:lang w:val="es-EC"/>
              </w:rPr>
            </w:pPr>
            <w:r w:rsidRPr="00B059E0">
              <w:rPr>
                <w:lang w:val="es-EC"/>
              </w:rPr>
              <w:t>.20</w:t>
            </w:r>
          </w:p>
        </w:tc>
      </w:tr>
      <w:tr w:rsidR="00A525CF" w:rsidRPr="00B059E0" w14:paraId="04C8B6D2" w14:textId="77777777" w:rsidTr="00A525CF">
        <w:trPr>
          <w:trHeight w:val="300"/>
        </w:trPr>
        <w:tc>
          <w:tcPr>
            <w:tcW w:w="5000" w:type="pct"/>
            <w:gridSpan w:val="6"/>
            <w:tcBorders>
              <w:top w:val="single" w:sz="4" w:space="0" w:color="auto"/>
              <w:left w:val="nil"/>
              <w:bottom w:val="nil"/>
              <w:right w:val="nil"/>
            </w:tcBorders>
            <w:vAlign w:val="center"/>
          </w:tcPr>
          <w:p w14:paraId="489E87B3" w14:textId="77777777" w:rsidR="00A525CF" w:rsidRPr="00B059E0" w:rsidRDefault="00A525CF" w:rsidP="002272BE">
            <w:pPr>
              <w:pStyle w:val="Correspondencedetails"/>
              <w:spacing w:before="0" w:line="240" w:lineRule="auto"/>
              <w:jc w:val="both"/>
            </w:pPr>
            <w:r w:rsidRPr="00B059E0">
              <w:t xml:space="preserve">* </w:t>
            </w:r>
            <w:r w:rsidRPr="00B059E0">
              <w:rPr>
                <w:i/>
                <w:iCs/>
              </w:rPr>
              <w:t xml:space="preserve">p </w:t>
            </w:r>
            <w:r w:rsidRPr="00B059E0">
              <w:t xml:space="preserve">&lt; 0.05; ** </w:t>
            </w:r>
            <w:r w:rsidRPr="00B059E0">
              <w:rPr>
                <w:i/>
                <w:iCs/>
              </w:rPr>
              <w:t xml:space="preserve">p </w:t>
            </w:r>
            <w:r w:rsidRPr="00B059E0">
              <w:t>&lt; 0.001</w:t>
            </w:r>
          </w:p>
        </w:tc>
      </w:tr>
    </w:tbl>
    <w:p w14:paraId="3B0BF3FC" w14:textId="77777777" w:rsidR="00A525CF" w:rsidRPr="00B059E0" w:rsidRDefault="00A525CF" w:rsidP="00A525CF">
      <w:pPr>
        <w:spacing w:line="240" w:lineRule="auto"/>
        <w:ind w:firstLine="0"/>
        <w:jc w:val="both"/>
        <w:rPr>
          <w:szCs w:val="24"/>
          <w:lang w:val="es-EC"/>
        </w:rPr>
      </w:pPr>
    </w:p>
    <w:p w14:paraId="2A44DFE2" w14:textId="48CD4EC6" w:rsidR="00721E4B" w:rsidRPr="00B059E0" w:rsidRDefault="4E41FCBB" w:rsidP="00B059E0">
      <w:pPr>
        <w:spacing w:line="240" w:lineRule="auto"/>
        <w:jc w:val="both"/>
        <w:rPr>
          <w:szCs w:val="24"/>
          <w:lang w:val="es-EC"/>
        </w:rPr>
      </w:pPr>
      <w:r w:rsidRPr="00B059E0">
        <w:rPr>
          <w:szCs w:val="24"/>
          <w:lang w:val="es-EC"/>
        </w:rPr>
        <w:t>En cuanto a los procesos gramaticales, los resultados indicaron que hubo diferencias significativas en la tarea de signos de puntuación (</w:t>
      </w:r>
      <w:r w:rsidR="00721E4B" w:rsidRPr="00B059E0">
        <w:rPr>
          <w:i/>
          <w:iCs/>
          <w:szCs w:val="24"/>
          <w:lang w:val="es-EC"/>
        </w:rPr>
        <w:t xml:space="preserve">p </w:t>
      </w:r>
      <w:r w:rsidR="00721E4B" w:rsidRPr="00B059E0">
        <w:rPr>
          <w:szCs w:val="24"/>
          <w:lang w:val="es-EC"/>
        </w:rPr>
        <w:t>= 0</w:t>
      </w:r>
      <w:r w:rsidR="001A5CD9" w:rsidRPr="00B059E0">
        <w:rPr>
          <w:szCs w:val="24"/>
          <w:lang w:val="es-EC"/>
        </w:rPr>
        <w:t>.</w:t>
      </w:r>
      <w:r w:rsidR="00721E4B" w:rsidRPr="00B059E0">
        <w:rPr>
          <w:szCs w:val="24"/>
          <w:lang w:val="es-EC"/>
        </w:rPr>
        <w:t xml:space="preserve">009; </w:t>
      </w:r>
      <w:r w:rsidR="00721E4B" w:rsidRPr="00B059E0">
        <w:rPr>
          <w:i/>
          <w:iCs/>
          <w:szCs w:val="24"/>
          <w:lang w:val="es-EC"/>
        </w:rPr>
        <w:t xml:space="preserve">d </w:t>
      </w:r>
      <w:r w:rsidR="00721E4B" w:rsidRPr="00B059E0">
        <w:rPr>
          <w:szCs w:val="24"/>
          <w:lang w:val="es-EC"/>
        </w:rPr>
        <w:t>= 0</w:t>
      </w:r>
      <w:r w:rsidR="001A5CD9" w:rsidRPr="00B059E0">
        <w:rPr>
          <w:szCs w:val="24"/>
          <w:lang w:val="es-EC"/>
        </w:rPr>
        <w:t>.</w:t>
      </w:r>
      <w:r w:rsidR="00721E4B" w:rsidRPr="00B059E0">
        <w:rPr>
          <w:szCs w:val="24"/>
          <w:lang w:val="es-EC"/>
        </w:rPr>
        <w:t xml:space="preserve">56), presentando el grupo </w:t>
      </w:r>
      <w:r w:rsidR="0055624E" w:rsidRPr="00B059E0">
        <w:rPr>
          <w:szCs w:val="24"/>
          <w:lang w:val="es-EC"/>
        </w:rPr>
        <w:t>GSI</w:t>
      </w:r>
      <w:r w:rsidR="00721E4B" w:rsidRPr="00B059E0">
        <w:rPr>
          <w:szCs w:val="24"/>
          <w:lang w:val="es-EC"/>
        </w:rPr>
        <w:t xml:space="preserve"> </w:t>
      </w:r>
      <w:r w:rsidR="00D552C9" w:rsidRPr="00B059E0">
        <w:rPr>
          <w:szCs w:val="24"/>
          <w:lang w:val="es-EC"/>
        </w:rPr>
        <w:t>una ejecución peor</w:t>
      </w:r>
      <w:r w:rsidR="00721E4B" w:rsidRPr="00B059E0">
        <w:rPr>
          <w:szCs w:val="24"/>
          <w:lang w:val="es-EC"/>
        </w:rPr>
        <w:t xml:space="preserve"> que el GC. Estos datos confirmaron parcialmente la tercera hipótesis.</w:t>
      </w:r>
    </w:p>
    <w:p w14:paraId="5B822191" w14:textId="011169FE" w:rsidR="004062A7" w:rsidRPr="00B059E0" w:rsidRDefault="00501E1A" w:rsidP="00B059E0">
      <w:pPr>
        <w:spacing w:line="240" w:lineRule="auto"/>
        <w:ind w:firstLine="720"/>
        <w:jc w:val="both"/>
        <w:rPr>
          <w:szCs w:val="24"/>
          <w:lang w:val="es-EC"/>
        </w:rPr>
      </w:pPr>
      <w:r w:rsidRPr="00B059E0">
        <w:rPr>
          <w:szCs w:val="24"/>
          <w:lang w:val="es-EC"/>
        </w:rPr>
        <w:t>Con relación a</w:t>
      </w:r>
      <w:r w:rsidR="00627A32" w:rsidRPr="00B059E0">
        <w:rPr>
          <w:szCs w:val="24"/>
          <w:lang w:val="es-EC"/>
        </w:rPr>
        <w:t xml:space="preserve"> los procesos semánticos, se encontraron diferencias significativas en la comprensión lectora visual. El G</w:t>
      </w:r>
      <w:r w:rsidR="008A26C4" w:rsidRPr="00B059E0">
        <w:rPr>
          <w:szCs w:val="24"/>
          <w:lang w:val="es-EC"/>
        </w:rPr>
        <w:t>SI</w:t>
      </w:r>
      <w:r w:rsidR="00627A32" w:rsidRPr="00B059E0">
        <w:rPr>
          <w:szCs w:val="24"/>
          <w:lang w:val="es-EC"/>
        </w:rPr>
        <w:t xml:space="preserve"> mostró </w:t>
      </w:r>
      <w:r w:rsidR="00D552C9" w:rsidRPr="00B059E0">
        <w:rPr>
          <w:szCs w:val="24"/>
          <w:lang w:val="es-EC"/>
        </w:rPr>
        <w:t>puntua</w:t>
      </w:r>
      <w:r w:rsidR="00627A32" w:rsidRPr="00B059E0">
        <w:rPr>
          <w:szCs w:val="24"/>
          <w:lang w:val="es-EC"/>
        </w:rPr>
        <w:t>ciones bajas en comparación con el GC. De hecho, los resultados mostraron que el G</w:t>
      </w:r>
      <w:r w:rsidR="008A26C4" w:rsidRPr="00B059E0">
        <w:rPr>
          <w:szCs w:val="24"/>
          <w:lang w:val="es-EC"/>
        </w:rPr>
        <w:t>SI</w:t>
      </w:r>
      <w:r w:rsidR="00627A32" w:rsidRPr="00B059E0">
        <w:rPr>
          <w:szCs w:val="24"/>
          <w:lang w:val="es-EC"/>
        </w:rPr>
        <w:t xml:space="preserve"> tuvo </w:t>
      </w:r>
      <w:r w:rsidR="00D552C9" w:rsidRPr="00B059E0">
        <w:rPr>
          <w:szCs w:val="24"/>
          <w:lang w:val="es-EC"/>
        </w:rPr>
        <w:t>resultado</w:t>
      </w:r>
      <w:r w:rsidR="00627A32" w:rsidRPr="00B059E0">
        <w:rPr>
          <w:szCs w:val="24"/>
          <w:lang w:val="es-EC"/>
        </w:rPr>
        <w:t>s significativamente más bajos en comprensión de lectura visual, específicamente en la medida de Comprensión de Oraciones (</w:t>
      </w:r>
      <w:r w:rsidR="00627A32" w:rsidRPr="00B059E0">
        <w:rPr>
          <w:i/>
          <w:iCs/>
          <w:szCs w:val="24"/>
          <w:lang w:val="es-EC"/>
        </w:rPr>
        <w:t xml:space="preserve">p </w:t>
      </w:r>
      <w:r w:rsidR="00627A32" w:rsidRPr="00B059E0">
        <w:rPr>
          <w:szCs w:val="24"/>
          <w:lang w:val="es-EC"/>
        </w:rPr>
        <w:t>= 0</w:t>
      </w:r>
      <w:r w:rsidR="001A5CD9" w:rsidRPr="00B059E0">
        <w:rPr>
          <w:szCs w:val="24"/>
          <w:lang w:val="es-EC"/>
        </w:rPr>
        <w:t>.</w:t>
      </w:r>
      <w:r w:rsidR="00627A32" w:rsidRPr="00B059E0">
        <w:rPr>
          <w:szCs w:val="24"/>
          <w:lang w:val="es-EC"/>
        </w:rPr>
        <w:t xml:space="preserve">02; </w:t>
      </w:r>
      <w:r w:rsidR="00627A32" w:rsidRPr="00B059E0">
        <w:rPr>
          <w:i/>
          <w:iCs/>
          <w:szCs w:val="24"/>
          <w:lang w:val="es-EC"/>
        </w:rPr>
        <w:t xml:space="preserve">d </w:t>
      </w:r>
      <w:r w:rsidR="00627A32" w:rsidRPr="00B059E0">
        <w:rPr>
          <w:szCs w:val="24"/>
          <w:lang w:val="es-EC"/>
        </w:rPr>
        <w:t>= 0</w:t>
      </w:r>
      <w:r w:rsidR="001A5CD9" w:rsidRPr="00B059E0">
        <w:rPr>
          <w:szCs w:val="24"/>
          <w:lang w:val="es-EC"/>
        </w:rPr>
        <w:t>.</w:t>
      </w:r>
      <w:r w:rsidR="00627A32" w:rsidRPr="00B059E0">
        <w:rPr>
          <w:szCs w:val="24"/>
          <w:lang w:val="es-EC"/>
        </w:rPr>
        <w:t>57) y la medida de Comprensión de Texto</w:t>
      </w:r>
      <w:r w:rsidR="00D552C9" w:rsidRPr="00B059E0">
        <w:rPr>
          <w:szCs w:val="24"/>
          <w:lang w:val="es-EC"/>
        </w:rPr>
        <w:t>s</w:t>
      </w:r>
      <w:r w:rsidR="00627A32" w:rsidRPr="00B059E0">
        <w:rPr>
          <w:szCs w:val="24"/>
          <w:lang w:val="es-EC"/>
        </w:rPr>
        <w:t xml:space="preserve"> (</w:t>
      </w:r>
      <w:r w:rsidR="00627A32" w:rsidRPr="00B059E0">
        <w:rPr>
          <w:i/>
          <w:iCs/>
          <w:szCs w:val="24"/>
          <w:lang w:val="es-EC"/>
        </w:rPr>
        <w:t xml:space="preserve">p </w:t>
      </w:r>
      <w:r w:rsidR="00627A32" w:rsidRPr="00B059E0">
        <w:rPr>
          <w:szCs w:val="24"/>
          <w:lang w:val="es-EC"/>
        </w:rPr>
        <w:t>= 0</w:t>
      </w:r>
      <w:r w:rsidR="001A5CD9" w:rsidRPr="00B059E0">
        <w:rPr>
          <w:szCs w:val="24"/>
          <w:lang w:val="es-EC"/>
        </w:rPr>
        <w:t>.</w:t>
      </w:r>
      <w:r w:rsidR="00627A32" w:rsidRPr="00B059E0">
        <w:rPr>
          <w:szCs w:val="24"/>
          <w:lang w:val="es-EC"/>
        </w:rPr>
        <w:t xml:space="preserve">04; </w:t>
      </w:r>
      <w:r w:rsidR="00627A32" w:rsidRPr="00B059E0">
        <w:rPr>
          <w:i/>
          <w:iCs/>
          <w:szCs w:val="24"/>
          <w:lang w:val="es-EC"/>
        </w:rPr>
        <w:t xml:space="preserve">d </w:t>
      </w:r>
      <w:r w:rsidR="00627A32" w:rsidRPr="00B059E0">
        <w:rPr>
          <w:szCs w:val="24"/>
          <w:lang w:val="es-EC"/>
        </w:rPr>
        <w:t>= 0</w:t>
      </w:r>
      <w:r w:rsidR="001A5CD9" w:rsidRPr="00B059E0">
        <w:rPr>
          <w:szCs w:val="24"/>
          <w:lang w:val="es-EC"/>
        </w:rPr>
        <w:t>.</w:t>
      </w:r>
      <w:r w:rsidR="00627A32" w:rsidRPr="00B059E0">
        <w:rPr>
          <w:szCs w:val="24"/>
          <w:lang w:val="es-EC"/>
        </w:rPr>
        <w:t>38).</w:t>
      </w:r>
    </w:p>
    <w:p w14:paraId="6DDC95E9" w14:textId="77777777" w:rsidR="00E00B56" w:rsidRPr="00B059E0" w:rsidRDefault="00E00B56" w:rsidP="00B059E0">
      <w:pPr>
        <w:spacing w:line="240" w:lineRule="auto"/>
        <w:ind w:firstLine="720"/>
        <w:jc w:val="both"/>
        <w:rPr>
          <w:szCs w:val="24"/>
          <w:lang w:val="es-EC"/>
        </w:rPr>
      </w:pPr>
    </w:p>
    <w:p w14:paraId="06989E8A" w14:textId="2556B0F6" w:rsidR="004B3CCD" w:rsidRPr="00B059E0" w:rsidRDefault="001C1939" w:rsidP="00B059E0">
      <w:pPr>
        <w:spacing w:line="240" w:lineRule="auto"/>
        <w:ind w:firstLine="0"/>
        <w:jc w:val="both"/>
        <w:rPr>
          <w:b/>
          <w:bCs/>
          <w:szCs w:val="24"/>
          <w:lang w:val="es-EC"/>
        </w:rPr>
      </w:pPr>
      <w:bookmarkStart w:id="15" w:name="_Toc40025295"/>
      <w:bookmarkEnd w:id="12"/>
      <w:bookmarkEnd w:id="13"/>
      <w:bookmarkEnd w:id="14"/>
      <w:r w:rsidRPr="00B059E0">
        <w:rPr>
          <w:b/>
          <w:bCs/>
          <w:szCs w:val="24"/>
          <w:lang w:val="es-EC"/>
        </w:rPr>
        <w:t>Discusión</w:t>
      </w:r>
    </w:p>
    <w:p w14:paraId="6EE90729" w14:textId="77777777" w:rsidR="004B6907" w:rsidRPr="00B059E0" w:rsidRDefault="001C1939" w:rsidP="00B059E0">
      <w:pPr>
        <w:spacing w:line="240" w:lineRule="auto"/>
        <w:jc w:val="both"/>
        <w:rPr>
          <w:rFonts w:eastAsia="Times New Roman"/>
          <w:szCs w:val="24"/>
          <w:lang w:val="es-EC"/>
        </w:rPr>
      </w:pPr>
      <w:r w:rsidRPr="00B059E0">
        <w:rPr>
          <w:szCs w:val="24"/>
          <w:lang w:val="es-EC"/>
        </w:rPr>
        <w:t>El objetivo principal de esta investigación fue distinguir las habilidades de lectura de niños con y sin síndrome de Irlen. Para el análisis diferencial, las habilidades consideradas por Cuetos et al. (2009) se tomaron como referentes: Capacidad de identificación de letras, Procesos léxicos, gramaticales y semánticos.</w:t>
      </w:r>
    </w:p>
    <w:p w14:paraId="1C677D4A" w14:textId="3A237006" w:rsidR="001E4A1E" w:rsidRPr="00B059E0" w:rsidRDefault="4379D923" w:rsidP="00B059E0">
      <w:pPr>
        <w:spacing w:line="240" w:lineRule="auto"/>
        <w:jc w:val="both"/>
        <w:rPr>
          <w:rFonts w:eastAsia="Times New Roman"/>
          <w:szCs w:val="24"/>
          <w:lang w:val="es-EC"/>
        </w:rPr>
      </w:pPr>
      <w:r w:rsidRPr="00B059E0">
        <w:rPr>
          <w:rFonts w:eastAsia="Times New Roman"/>
          <w:szCs w:val="24"/>
          <w:lang w:val="es-EC"/>
        </w:rPr>
        <w:t>El no encontrar diferencias significativas en la capacidad de identificar letras</w:t>
      </w:r>
      <w:r w:rsidR="00E90825" w:rsidRPr="00B059E0">
        <w:rPr>
          <w:rFonts w:eastAsia="Times New Roman"/>
          <w:szCs w:val="24"/>
          <w:lang w:val="es-EC"/>
        </w:rPr>
        <w:t xml:space="preserve"> </w:t>
      </w:r>
      <w:r w:rsidRPr="00B059E0">
        <w:rPr>
          <w:rFonts w:eastAsia="Times New Roman"/>
          <w:szCs w:val="24"/>
          <w:lang w:val="es-EC"/>
        </w:rPr>
        <w:t xml:space="preserve">permitió confirmar la primera hipótesis. Esta condición de que ambos grupos mantuvieran </w:t>
      </w:r>
      <w:r w:rsidR="00D552C9" w:rsidRPr="00B059E0">
        <w:rPr>
          <w:rFonts w:eastAsia="Times New Roman"/>
          <w:szCs w:val="24"/>
          <w:lang w:val="es-EC"/>
        </w:rPr>
        <w:t>una buena ejecución</w:t>
      </w:r>
      <w:r w:rsidRPr="00B059E0">
        <w:rPr>
          <w:rFonts w:eastAsia="Times New Roman"/>
          <w:szCs w:val="24"/>
          <w:lang w:val="es-EC"/>
        </w:rPr>
        <w:t xml:space="preserve"> en esta habilidad permitía suponer que procesos esenciales como la identificación de letras no podrían estar afectando la habilidad lectora de los niños. El procesamiento fonológico y la velocidad de denominación son precursores del aprendizaje de la lectura y la escritura (Perfetti </w:t>
      </w:r>
      <w:r w:rsidR="00D552C9" w:rsidRPr="00B059E0">
        <w:rPr>
          <w:rFonts w:eastAsia="Times New Roman"/>
          <w:szCs w:val="24"/>
          <w:lang w:val="es-EC"/>
        </w:rPr>
        <w:t>y</w:t>
      </w:r>
      <w:r w:rsidRPr="00B059E0">
        <w:rPr>
          <w:rFonts w:eastAsia="Times New Roman"/>
          <w:szCs w:val="24"/>
          <w:lang w:val="es-EC"/>
        </w:rPr>
        <w:t xml:space="preserve"> Staffura, 2014). De hecho, según Perfetti (1994), la rápida denominación es un predictor de alfabetización. </w:t>
      </w:r>
      <w:r w:rsidR="007135A4" w:rsidRPr="00B059E0">
        <w:rPr>
          <w:rFonts w:eastAsia="Times New Roman"/>
          <w:szCs w:val="24"/>
          <w:lang w:val="es-EC"/>
        </w:rPr>
        <w:t>Esta condición esencial para la lectura fue plenamente adquirida en ambos grupos y por tanto no fue una variable que interfiriera en la interpretación de estos últimos resultados.</w:t>
      </w:r>
    </w:p>
    <w:p w14:paraId="1E51B7F2" w14:textId="141BDB91" w:rsidR="4379D923" w:rsidRPr="00B059E0" w:rsidRDefault="4379D923" w:rsidP="00B059E0">
      <w:pPr>
        <w:spacing w:line="240" w:lineRule="auto"/>
        <w:jc w:val="both"/>
        <w:rPr>
          <w:szCs w:val="24"/>
          <w:lang w:val="es-EC"/>
        </w:rPr>
      </w:pPr>
      <w:r w:rsidRPr="00B059E0">
        <w:rPr>
          <w:szCs w:val="24"/>
          <w:lang w:val="es-EC"/>
        </w:rPr>
        <w:t>Los niños con Síndrome de Irlen rind</w:t>
      </w:r>
      <w:r w:rsidR="006E51DB" w:rsidRPr="00B059E0">
        <w:rPr>
          <w:szCs w:val="24"/>
          <w:lang w:val="es-EC"/>
        </w:rPr>
        <w:t>ieron</w:t>
      </w:r>
      <w:r w:rsidRPr="00B059E0">
        <w:rPr>
          <w:szCs w:val="24"/>
          <w:lang w:val="es-EC"/>
        </w:rPr>
        <w:t xml:space="preserve"> al mismo nivel que los que no lo tienen porque, en las pruebas de identificación de letras, el esfuerzo no es el mismo que cuando leen un texto completo. En la tarea de identificación, todos los niños debían reconocer letras aisladas sacadas de contexto sin formar parte de un párrafo. Al leer líneas enteras de un texto, para quienes padecen SI, el esfuerzo es mayor debido a la presencia de patrones de línea en la lectura de textos sobre fondos blancos que pueden desencadenar la presencia de distorsiones visuales y molestias físicas al leer</w:t>
      </w:r>
      <w:r w:rsidR="001A5CD9" w:rsidRPr="00B059E0">
        <w:rPr>
          <w:szCs w:val="24"/>
          <w:lang w:val="es-EC"/>
        </w:rPr>
        <w:t>,</w:t>
      </w:r>
      <w:r w:rsidRPr="00B059E0">
        <w:rPr>
          <w:szCs w:val="24"/>
          <w:lang w:val="es-EC"/>
        </w:rPr>
        <w:t xml:space="preserve"> que son las características de </w:t>
      </w:r>
      <w:r w:rsidR="006E51DB" w:rsidRPr="00B059E0">
        <w:rPr>
          <w:szCs w:val="24"/>
          <w:lang w:val="es-EC"/>
        </w:rPr>
        <w:t>s</w:t>
      </w:r>
      <w:r w:rsidRPr="00B059E0">
        <w:rPr>
          <w:szCs w:val="24"/>
          <w:lang w:val="es-EC"/>
        </w:rPr>
        <w:t>intomatología del Síndrome de Irlen y dislexia del desarrollo (Stein 2018; Vilhen</w:t>
      </w:r>
      <w:r w:rsidR="00D552C9" w:rsidRPr="00B059E0">
        <w:rPr>
          <w:szCs w:val="24"/>
          <w:lang w:val="es-EC"/>
        </w:rPr>
        <w:t>a</w:t>
      </w:r>
      <w:r w:rsidRPr="00B059E0">
        <w:rPr>
          <w:szCs w:val="24"/>
          <w:lang w:val="es-EC"/>
        </w:rPr>
        <w:t xml:space="preserve"> et al, 2021).</w:t>
      </w:r>
    </w:p>
    <w:p w14:paraId="17F09480" w14:textId="22BC6340" w:rsidR="009F5823" w:rsidRPr="00B059E0" w:rsidRDefault="001C1939" w:rsidP="00B059E0">
      <w:pPr>
        <w:spacing w:line="240" w:lineRule="auto"/>
        <w:jc w:val="both"/>
        <w:rPr>
          <w:szCs w:val="24"/>
          <w:lang w:val="es-EC"/>
        </w:rPr>
      </w:pPr>
      <w:r w:rsidRPr="00B059E0">
        <w:rPr>
          <w:szCs w:val="24"/>
          <w:lang w:val="es-EC"/>
        </w:rPr>
        <w:t xml:space="preserve">Sin embargo, a pesar de mantener </w:t>
      </w:r>
      <w:r w:rsidR="004A2131" w:rsidRPr="00B059E0">
        <w:rPr>
          <w:szCs w:val="24"/>
          <w:lang w:val="es-EC"/>
        </w:rPr>
        <w:t>una buena ejecución</w:t>
      </w:r>
      <w:r w:rsidRPr="00B059E0">
        <w:rPr>
          <w:szCs w:val="24"/>
          <w:lang w:val="es-EC"/>
        </w:rPr>
        <w:t xml:space="preserve"> por parte de ambos grupos, se encontraron diferencias significativas en las habilidades más complejas como la comprensión inferencial. En cuanto a los procesos léxicos, </w:t>
      </w:r>
      <w:r w:rsidR="004A2131" w:rsidRPr="00B059E0">
        <w:rPr>
          <w:szCs w:val="24"/>
          <w:lang w:val="es-EC"/>
        </w:rPr>
        <w:t>la ejecución</w:t>
      </w:r>
      <w:r w:rsidRPr="00B059E0">
        <w:rPr>
          <w:szCs w:val="24"/>
          <w:lang w:val="es-EC"/>
        </w:rPr>
        <w:t xml:space="preserve"> significativamente </w:t>
      </w:r>
      <w:r w:rsidR="004A2131" w:rsidRPr="00B059E0">
        <w:rPr>
          <w:szCs w:val="24"/>
          <w:lang w:val="es-EC"/>
        </w:rPr>
        <w:t>más baja</w:t>
      </w:r>
      <w:r w:rsidRPr="00B059E0">
        <w:rPr>
          <w:szCs w:val="24"/>
          <w:lang w:val="es-EC"/>
        </w:rPr>
        <w:t xml:space="preserve"> en el G</w:t>
      </w:r>
      <w:r w:rsidR="006E43B1" w:rsidRPr="00B059E0">
        <w:rPr>
          <w:szCs w:val="24"/>
          <w:lang w:val="es-EC"/>
        </w:rPr>
        <w:t>SI</w:t>
      </w:r>
      <w:r w:rsidRPr="00B059E0">
        <w:rPr>
          <w:szCs w:val="24"/>
          <w:lang w:val="es-EC"/>
        </w:rPr>
        <w:t xml:space="preserve"> confirmó la hipótesis. Este fenómeno puede estar muy relacionado con la dificultad que pueden </w:t>
      </w:r>
      <w:r w:rsidRPr="00B059E0">
        <w:rPr>
          <w:szCs w:val="24"/>
          <w:lang w:val="es-EC"/>
        </w:rPr>
        <w:lastRenderedPageBreak/>
        <w:t xml:space="preserve">tener los niños con SI para acceder rápidamente a las palabras y la capacidad </w:t>
      </w:r>
      <w:r w:rsidR="004A2131" w:rsidRPr="00B059E0">
        <w:rPr>
          <w:szCs w:val="24"/>
          <w:lang w:val="es-EC"/>
        </w:rPr>
        <w:t xml:space="preserve">limitada </w:t>
      </w:r>
      <w:r w:rsidRPr="00B059E0">
        <w:rPr>
          <w:szCs w:val="24"/>
          <w:lang w:val="es-EC"/>
        </w:rPr>
        <w:t>para identificar la composición de palabras y pseudopalabras.</w:t>
      </w:r>
    </w:p>
    <w:p w14:paraId="5739C480" w14:textId="1E842801" w:rsidR="0041628F" w:rsidRPr="00B059E0" w:rsidRDefault="001C1939" w:rsidP="00B059E0">
      <w:pPr>
        <w:spacing w:line="240" w:lineRule="auto"/>
        <w:jc w:val="both"/>
        <w:rPr>
          <w:szCs w:val="24"/>
          <w:lang w:val="es-EC"/>
        </w:rPr>
      </w:pPr>
      <w:r w:rsidRPr="00B059E0">
        <w:rPr>
          <w:szCs w:val="24"/>
          <w:lang w:val="es-EC"/>
        </w:rPr>
        <w:t xml:space="preserve">Según Cuetos et al. (2009), la capacidad de acceder a las palabras del texto suele ser un mecanismo rápido que dependería de la capacidad asociativa que tenga el lector con palabras previamente conocidas. Probablemente, en algunos casos, debido al uso frecuente de ciertas palabras, tienden a identificarlas sin necesidad de analizar previamente sus partes. Wilkins et al. (2004) sugirieron que el procesamiento visual que ocurre al reconocer palabras podría verse afectado por </w:t>
      </w:r>
      <w:r w:rsidR="00EC652E" w:rsidRPr="00B059E0">
        <w:rPr>
          <w:szCs w:val="24"/>
          <w:lang w:val="es-EC"/>
        </w:rPr>
        <w:t>e</w:t>
      </w:r>
      <w:r w:rsidRPr="00B059E0">
        <w:rPr>
          <w:szCs w:val="24"/>
          <w:lang w:val="es-EC"/>
        </w:rPr>
        <w:t xml:space="preserve">l </w:t>
      </w:r>
      <w:r w:rsidR="00EC652E" w:rsidRPr="00B059E0">
        <w:rPr>
          <w:szCs w:val="24"/>
          <w:lang w:val="es-EC"/>
        </w:rPr>
        <w:t>SI</w:t>
      </w:r>
      <w:r w:rsidRPr="00B059E0">
        <w:rPr>
          <w:szCs w:val="24"/>
          <w:lang w:val="es-EC"/>
        </w:rPr>
        <w:t xml:space="preserve"> y llevar a la persona a utilizar una metodología global para el reconocimiento de palabras y sería la causa del error al reconocer palabras y pseudopalabras en detalle.</w:t>
      </w:r>
    </w:p>
    <w:p w14:paraId="48259450" w14:textId="4EA5CD78" w:rsidR="00D335A1" w:rsidRPr="00B059E0" w:rsidRDefault="00501E1A" w:rsidP="00B059E0">
      <w:pPr>
        <w:spacing w:line="240" w:lineRule="auto"/>
        <w:jc w:val="both"/>
        <w:rPr>
          <w:szCs w:val="24"/>
          <w:lang w:val="es-EC"/>
        </w:rPr>
      </w:pPr>
      <w:r w:rsidRPr="00B059E0">
        <w:rPr>
          <w:szCs w:val="24"/>
          <w:lang w:val="es-EC"/>
        </w:rPr>
        <w:t>Con relación a</w:t>
      </w:r>
      <w:r w:rsidR="00A2555A" w:rsidRPr="00B059E0">
        <w:rPr>
          <w:szCs w:val="24"/>
          <w:lang w:val="es-EC"/>
        </w:rPr>
        <w:t xml:space="preserve"> los procesos gramaticales, los investigadores esperaban encontrar un</w:t>
      </w:r>
      <w:r w:rsidR="005D13C8" w:rsidRPr="00B059E0">
        <w:rPr>
          <w:szCs w:val="24"/>
          <w:lang w:val="es-EC"/>
        </w:rPr>
        <w:t>a ejecución</w:t>
      </w:r>
      <w:r w:rsidR="00A2555A" w:rsidRPr="00B059E0">
        <w:rPr>
          <w:szCs w:val="24"/>
          <w:lang w:val="es-EC"/>
        </w:rPr>
        <w:t xml:space="preserve"> peor en el </w:t>
      </w:r>
      <w:r w:rsidR="00790BBF" w:rsidRPr="00B059E0">
        <w:rPr>
          <w:szCs w:val="24"/>
          <w:lang w:val="es-EC"/>
        </w:rPr>
        <w:t>GSI</w:t>
      </w:r>
      <w:r w:rsidR="00A2555A" w:rsidRPr="00B059E0">
        <w:rPr>
          <w:szCs w:val="24"/>
          <w:lang w:val="es-EC"/>
        </w:rPr>
        <w:t xml:space="preserve"> que en el GC. El </w:t>
      </w:r>
      <w:r w:rsidR="005D13C8" w:rsidRPr="00B059E0">
        <w:rPr>
          <w:szCs w:val="24"/>
          <w:lang w:val="es-EC"/>
        </w:rPr>
        <w:t>rendimiento</w:t>
      </w:r>
      <w:r w:rsidR="00A2555A" w:rsidRPr="00B059E0">
        <w:rPr>
          <w:szCs w:val="24"/>
          <w:lang w:val="es-EC"/>
        </w:rPr>
        <w:t xml:space="preserve"> en la tarea de estructuras gramaticales fue similar. Hubo diferencias entre los grupos en la tarea de signos de puntuación. No se encontraron diferencias significativas en la primera tarea. Para resolverlo se utilizaron imágenes, las cuales pueden ser de gran ayuda. Adicionalmente, en la asignación de signos de puntuación, ningún tipo de ayuda interfirió en la capacidad visual para leer y podría considerarse la razón principal del bajo rendimiento de los niños con SI. Según algunos estudios (Irlen, 2005; Wilkins et al., 2004), </w:t>
      </w:r>
      <w:r w:rsidR="00DF3346" w:rsidRPr="00B059E0">
        <w:rPr>
          <w:szCs w:val="24"/>
          <w:lang w:val="es-EC"/>
        </w:rPr>
        <w:t>el SI</w:t>
      </w:r>
      <w:r w:rsidR="00A2555A" w:rsidRPr="00B059E0">
        <w:rPr>
          <w:szCs w:val="24"/>
          <w:lang w:val="es-EC"/>
        </w:rPr>
        <w:t xml:space="preserve"> </w:t>
      </w:r>
      <w:bookmarkStart w:id="16" w:name="_Int_3YadcgAw"/>
      <w:r w:rsidR="741E2879" w:rsidRPr="00B059E0">
        <w:rPr>
          <w:szCs w:val="24"/>
          <w:lang w:val="es-EC"/>
        </w:rPr>
        <w:t xml:space="preserve">se </w:t>
      </w:r>
      <w:bookmarkEnd w:id="16"/>
      <w:r w:rsidR="741E2879" w:rsidRPr="00B059E0">
        <w:rPr>
          <w:szCs w:val="24"/>
          <w:lang w:val="es-EC"/>
        </w:rPr>
        <w:t>caracteriza por distorsiones visuales que afectan la identificación y omisión de los signos de puntuación, lo que produciría una mala lectura.</w:t>
      </w:r>
    </w:p>
    <w:p w14:paraId="722A718A" w14:textId="5C2E442E" w:rsidR="6A6F3AE7" w:rsidRPr="00B059E0" w:rsidRDefault="1C4F700A" w:rsidP="00B059E0">
      <w:pPr>
        <w:spacing w:line="240" w:lineRule="auto"/>
        <w:jc w:val="both"/>
        <w:rPr>
          <w:szCs w:val="24"/>
          <w:lang w:val="es-EC"/>
        </w:rPr>
      </w:pPr>
      <w:r w:rsidRPr="00B059E0">
        <w:rPr>
          <w:szCs w:val="24"/>
          <w:lang w:val="es-EC"/>
        </w:rPr>
        <w:t>En cuanto a los procesos semánticos, las diferencias entre grupos fueron muy interesantes porque respaldan la hipótesis de que la diferencia más notable podría encontrarse en las tareas de comprensión visual en lugar de</w:t>
      </w:r>
      <w:r w:rsidR="00552A60" w:rsidRPr="00B059E0">
        <w:rPr>
          <w:szCs w:val="24"/>
          <w:lang w:val="es-EC"/>
        </w:rPr>
        <w:t xml:space="preserve"> en</w:t>
      </w:r>
      <w:r w:rsidRPr="00B059E0">
        <w:rPr>
          <w:szCs w:val="24"/>
          <w:lang w:val="es-EC"/>
        </w:rPr>
        <w:t xml:space="preserve"> las tareas de comprensión auditiva. El G</w:t>
      </w:r>
      <w:r w:rsidR="00DF3346" w:rsidRPr="00B059E0">
        <w:rPr>
          <w:szCs w:val="24"/>
          <w:lang w:val="es-EC"/>
        </w:rPr>
        <w:t>SI</w:t>
      </w:r>
      <w:r w:rsidRPr="00B059E0">
        <w:rPr>
          <w:szCs w:val="24"/>
          <w:lang w:val="es-EC"/>
        </w:rPr>
        <w:t xml:space="preserve"> tuvo un </w:t>
      </w:r>
      <w:r w:rsidR="005D13C8" w:rsidRPr="00B059E0">
        <w:rPr>
          <w:szCs w:val="24"/>
          <w:lang w:val="es-EC"/>
        </w:rPr>
        <w:t>rendimiento</w:t>
      </w:r>
      <w:r w:rsidRPr="00B059E0">
        <w:rPr>
          <w:szCs w:val="24"/>
          <w:lang w:val="es-EC"/>
        </w:rPr>
        <w:t xml:space="preserve"> más bajo en las tareas de comprensión de oraciones y textos en comparación con el GC</w:t>
      </w:r>
      <w:r w:rsidR="00552A60" w:rsidRPr="00B059E0">
        <w:rPr>
          <w:szCs w:val="24"/>
          <w:lang w:val="es-EC"/>
        </w:rPr>
        <w:t>,</w:t>
      </w:r>
      <w:r w:rsidRPr="00B059E0">
        <w:rPr>
          <w:szCs w:val="24"/>
          <w:lang w:val="es-EC"/>
        </w:rPr>
        <w:t xml:space="preserve"> </w:t>
      </w:r>
      <w:r w:rsidR="00552A60" w:rsidRPr="00B059E0">
        <w:rPr>
          <w:szCs w:val="24"/>
          <w:lang w:val="es-EC"/>
        </w:rPr>
        <w:t>m</w:t>
      </w:r>
      <w:r w:rsidRPr="00B059E0">
        <w:rPr>
          <w:szCs w:val="24"/>
          <w:lang w:val="es-EC"/>
        </w:rPr>
        <w:t>ientras que en la tarea de comprensión oral no hubo diferencias significativas entre ambos grupos.</w:t>
      </w:r>
    </w:p>
    <w:p w14:paraId="02AB4B81" w14:textId="75FA855B" w:rsidR="40F080B7" w:rsidRPr="00B059E0" w:rsidRDefault="1C4F700A" w:rsidP="00B059E0">
      <w:pPr>
        <w:spacing w:line="240" w:lineRule="auto"/>
        <w:jc w:val="both"/>
        <w:rPr>
          <w:color w:val="000000" w:themeColor="text1"/>
          <w:szCs w:val="24"/>
          <w:lang w:val="es-EC"/>
        </w:rPr>
      </w:pPr>
      <w:r w:rsidRPr="00B059E0">
        <w:rPr>
          <w:szCs w:val="24"/>
          <w:lang w:val="es-EC"/>
        </w:rPr>
        <w:t xml:space="preserve">Los resultados de esta investigación indican </w:t>
      </w:r>
      <w:bookmarkStart w:id="17" w:name="_Int_MI0TgR9B"/>
      <w:r w:rsidRPr="00B059E0">
        <w:rPr>
          <w:szCs w:val="24"/>
          <w:lang w:val="es-EC"/>
        </w:rPr>
        <w:t xml:space="preserve">que los estudiantes con síndrome de Irlen mostraron un </w:t>
      </w:r>
      <w:r w:rsidR="005D13C8" w:rsidRPr="00B059E0">
        <w:rPr>
          <w:szCs w:val="24"/>
          <w:lang w:val="es-EC"/>
        </w:rPr>
        <w:t>rendimiento</w:t>
      </w:r>
      <w:r w:rsidRPr="00B059E0">
        <w:rPr>
          <w:szCs w:val="24"/>
          <w:lang w:val="es-EC"/>
        </w:rPr>
        <w:t xml:space="preserve"> significativamente menor en todas las tareas de comprensión visual. Aunque la comprensión oral fue ligeramente inferior, la diferencia entre los grupos no fue significativa. Estos resultados apoyarían la hipótesis propuesta de que el síndrome de Irlen puede afectar la percepción y comprensión visual y no necesariamente la comprensión oral</w:t>
      </w:r>
      <w:bookmarkEnd w:id="17"/>
      <w:r w:rsidRPr="00B059E0">
        <w:rPr>
          <w:color w:val="000000" w:themeColor="text1"/>
          <w:szCs w:val="24"/>
          <w:lang w:val="es-EC"/>
        </w:rPr>
        <w:t>. En una revisión sistemática sobre el Síndrome de Irlen, Sacoman (2020) explicó que</w:t>
      </w:r>
      <w:r w:rsidR="00552A60" w:rsidRPr="00B059E0">
        <w:rPr>
          <w:color w:val="000000" w:themeColor="text1"/>
          <w:szCs w:val="24"/>
          <w:lang w:val="es-EC"/>
        </w:rPr>
        <w:t>,</w:t>
      </w:r>
      <w:r w:rsidRPr="00B059E0">
        <w:rPr>
          <w:color w:val="000000" w:themeColor="text1"/>
          <w:szCs w:val="24"/>
          <w:lang w:val="es-EC"/>
        </w:rPr>
        <w:t xml:space="preserve"> si bien existen problemas en los casos de SI, la capacidad verbal no siempre se ve afectada; sin embargo, estas afirmaciones carecen de datos empíricos o análisis estadísticos que respalden esta afirmación. Dada la falta de investigación previa sobre el síndrome de Irlen y el uso de pruebas de comprensión oral, los hallazgos de nuestro estudio empírico, que proporcionan evidencia que verifica esta distinción de grupo, nos llevan a sugerir que la capacidad de comprensión oral es particularmente interesante para explorac</w:t>
      </w:r>
      <w:r w:rsidR="00913CD4" w:rsidRPr="00B059E0">
        <w:rPr>
          <w:color w:val="000000" w:themeColor="text1"/>
          <w:szCs w:val="24"/>
          <w:lang w:val="es-EC"/>
        </w:rPr>
        <w:t>iones</w:t>
      </w:r>
      <w:r w:rsidR="005D13C8" w:rsidRPr="00B059E0">
        <w:rPr>
          <w:color w:val="000000" w:themeColor="text1"/>
          <w:szCs w:val="24"/>
          <w:lang w:val="es-EC"/>
        </w:rPr>
        <w:t xml:space="preserve"> adicionales</w:t>
      </w:r>
      <w:r w:rsidRPr="00B059E0">
        <w:rPr>
          <w:color w:val="000000" w:themeColor="text1"/>
          <w:szCs w:val="24"/>
          <w:lang w:val="es-EC"/>
        </w:rPr>
        <w:t>.</w:t>
      </w:r>
    </w:p>
    <w:p w14:paraId="6BCAF994" w14:textId="55D3C64C" w:rsidR="00EF4C3B" w:rsidRPr="00B059E0" w:rsidRDefault="1C4F700A" w:rsidP="00B059E0">
      <w:pPr>
        <w:spacing w:line="240" w:lineRule="auto"/>
        <w:ind w:firstLine="720"/>
        <w:jc w:val="both"/>
        <w:rPr>
          <w:szCs w:val="24"/>
          <w:lang w:val="es-EC"/>
        </w:rPr>
      </w:pPr>
      <w:r w:rsidRPr="00B059E0">
        <w:rPr>
          <w:color w:val="000000" w:themeColor="text1"/>
          <w:szCs w:val="24"/>
          <w:lang w:val="es-EC"/>
        </w:rPr>
        <w:t xml:space="preserve">Los resultados de nuestro estudio </w:t>
      </w:r>
      <w:r w:rsidRPr="00B059E0">
        <w:rPr>
          <w:szCs w:val="24"/>
          <w:lang w:val="es-EC"/>
        </w:rPr>
        <w:t xml:space="preserve">también apoyarían los datos encontrados previamente por Tacuri-Reino et al. (2018) sobre comprensión visual en participantes con SI. Estos autores utilizaron como medida un cuento que debía ser leído por el estudiante, quien luego respondía cinco preguntas; contaron aciertos, errores y tiempo de lectura. Sus resultados mostraron que la comprensión del </w:t>
      </w:r>
      <w:r w:rsidR="00603DE5" w:rsidRPr="00B059E0">
        <w:rPr>
          <w:szCs w:val="24"/>
          <w:lang w:val="es-EC"/>
        </w:rPr>
        <w:t>GSI</w:t>
      </w:r>
      <w:r w:rsidRPr="00B059E0">
        <w:rPr>
          <w:szCs w:val="24"/>
          <w:lang w:val="es-EC"/>
        </w:rPr>
        <w:t xml:space="preserve"> fue significativamente menor que la del G</w:t>
      </w:r>
      <w:r w:rsidR="0055624E" w:rsidRPr="00B059E0">
        <w:rPr>
          <w:szCs w:val="24"/>
          <w:lang w:val="es-EC"/>
        </w:rPr>
        <w:t>C</w:t>
      </w:r>
      <w:r w:rsidRPr="00B059E0">
        <w:rPr>
          <w:szCs w:val="24"/>
          <w:lang w:val="es-EC"/>
        </w:rPr>
        <w:t xml:space="preserve"> en las tres medidas. Como se puede observar, la comprensión visual se vería afectada en los pacientes con SI al utilizar diferentes pruebas y diferentes medidas, como también mencionan </w:t>
      </w:r>
      <w:r w:rsidR="00501E1A" w:rsidRPr="00B059E0">
        <w:rPr>
          <w:szCs w:val="24"/>
          <w:lang w:val="es-EC"/>
        </w:rPr>
        <w:t>Guimarães</w:t>
      </w:r>
      <w:r w:rsidRPr="00B059E0">
        <w:rPr>
          <w:szCs w:val="24"/>
          <w:lang w:val="es-EC"/>
        </w:rPr>
        <w:t xml:space="preserve"> et al. (2020).</w:t>
      </w:r>
    </w:p>
    <w:p w14:paraId="1E2263C7" w14:textId="02EA46E4" w:rsidR="0030458A" w:rsidRPr="00B059E0" w:rsidRDefault="038686E3" w:rsidP="00B059E0">
      <w:pPr>
        <w:spacing w:line="240" w:lineRule="auto"/>
        <w:ind w:firstLine="720"/>
        <w:jc w:val="both"/>
        <w:rPr>
          <w:szCs w:val="24"/>
          <w:lang w:val="es-EC"/>
        </w:rPr>
      </w:pPr>
      <w:r w:rsidRPr="00B059E0">
        <w:rPr>
          <w:szCs w:val="24"/>
          <w:lang w:val="es-EC"/>
        </w:rPr>
        <w:t>Aunque no es directamente comparable, este estudio proporciona nuevos datos empíricos para su consideración, ya que los investigadores utilizaron tres tareas del PROLEC-R. En este sentido, si bie</w:t>
      </w:r>
      <w:r w:rsidR="005D13C8" w:rsidRPr="00B059E0">
        <w:rPr>
          <w:szCs w:val="24"/>
          <w:lang w:val="es-EC"/>
        </w:rPr>
        <w:t>n</w:t>
      </w:r>
      <w:r w:rsidRPr="00B059E0">
        <w:rPr>
          <w:szCs w:val="24"/>
          <w:lang w:val="es-EC"/>
        </w:rPr>
        <w:t xml:space="preserve"> existen más investigaciones que sustentan que las personas con síndrome de Irlen presentan problemas en la lectura (Guimarães </w:t>
      </w:r>
      <w:r w:rsidR="00C06FF7" w:rsidRPr="00B059E0">
        <w:rPr>
          <w:color w:val="000000" w:themeColor="text1"/>
          <w:szCs w:val="24"/>
          <w:lang w:val="es-EC"/>
        </w:rPr>
        <w:t>y</w:t>
      </w:r>
      <w:r w:rsidRPr="00B059E0">
        <w:rPr>
          <w:color w:val="FF0000"/>
          <w:szCs w:val="24"/>
          <w:lang w:val="es-EC"/>
        </w:rPr>
        <w:t xml:space="preserve"> </w:t>
      </w:r>
      <w:r w:rsidRPr="00B059E0">
        <w:rPr>
          <w:szCs w:val="24"/>
          <w:lang w:val="es-EC"/>
        </w:rPr>
        <w:t xml:space="preserve">Guimarães, 2013), los análisis han sido limitados </w:t>
      </w:r>
      <w:r w:rsidRPr="00B059E0">
        <w:rPr>
          <w:szCs w:val="24"/>
          <w:lang w:val="es-EC"/>
        </w:rPr>
        <w:lastRenderedPageBreak/>
        <w:t xml:space="preserve">hasta la fecha en términos de procedimientos empíricos y solo algunos se han centrado únicamente en detallar la velocidad de lectura (por ejemplo, Hollis </w:t>
      </w:r>
      <w:r w:rsidR="00C06FF7" w:rsidRPr="00B059E0">
        <w:rPr>
          <w:color w:val="000000" w:themeColor="text1"/>
          <w:szCs w:val="24"/>
          <w:lang w:val="es-EC"/>
        </w:rPr>
        <w:t>y</w:t>
      </w:r>
      <w:r w:rsidR="000110F1" w:rsidRPr="00B059E0">
        <w:rPr>
          <w:color w:val="000000" w:themeColor="text1"/>
          <w:szCs w:val="24"/>
          <w:lang w:val="es-EC"/>
        </w:rPr>
        <w:t xml:space="preserve"> </w:t>
      </w:r>
      <w:r w:rsidRPr="00B059E0">
        <w:rPr>
          <w:szCs w:val="24"/>
          <w:lang w:val="es-EC"/>
        </w:rPr>
        <w:t>Allen, 2006).</w:t>
      </w:r>
      <w:r w:rsidRPr="00B059E0">
        <w:rPr>
          <w:color w:val="4472C4" w:themeColor="accent1"/>
          <w:szCs w:val="24"/>
          <w:lang w:val="es-EC"/>
        </w:rPr>
        <w:t xml:space="preserve"> </w:t>
      </w:r>
      <w:r w:rsidR="0030458A" w:rsidRPr="00B059E0">
        <w:rPr>
          <w:szCs w:val="24"/>
          <w:lang w:val="es-EC"/>
        </w:rPr>
        <w:t xml:space="preserve">De ahí que varios autores hayan cuestionado investigaciones previas que confirman la existencia del síndrome de Irlen, su influencia en la lectura y los tipos de evaluación e intervención utilizados </w:t>
      </w:r>
      <w:r w:rsidR="0030458A" w:rsidRPr="00B059E0">
        <w:rPr>
          <w:noProof/>
          <w:szCs w:val="24"/>
          <w:lang w:val="es-EC"/>
        </w:rPr>
        <w:t>(Griffiths et al., 2016; Ritchie et al., 2011</w:t>
      </w:r>
      <w:r w:rsidR="00881D3D">
        <w:rPr>
          <w:noProof/>
          <w:szCs w:val="24"/>
          <w:lang w:val="es-EC"/>
        </w:rPr>
        <w:t>;</w:t>
      </w:r>
      <w:r w:rsidR="0030458A" w:rsidRPr="00B059E0">
        <w:rPr>
          <w:noProof/>
          <w:szCs w:val="24"/>
          <w:lang w:val="es-EC"/>
        </w:rPr>
        <w:t xml:space="preserve"> 2012; Uccula et al., 2014)</w:t>
      </w:r>
      <w:r w:rsidR="0030458A" w:rsidRPr="00B059E0">
        <w:rPr>
          <w:szCs w:val="24"/>
          <w:lang w:val="es-EC"/>
        </w:rPr>
        <w:t>.</w:t>
      </w:r>
    </w:p>
    <w:p w14:paraId="7327EC34" w14:textId="285A7E1F" w:rsidR="004B3CCD" w:rsidRPr="00B059E0" w:rsidRDefault="038686E3" w:rsidP="00B059E0">
      <w:pPr>
        <w:spacing w:line="240" w:lineRule="auto"/>
        <w:ind w:firstLine="720"/>
        <w:jc w:val="both"/>
        <w:rPr>
          <w:color w:val="FF0000"/>
          <w:szCs w:val="24"/>
          <w:lang w:val="es-EC"/>
        </w:rPr>
      </w:pPr>
      <w:r w:rsidRPr="00B059E0">
        <w:rPr>
          <w:color w:val="000000" w:themeColor="text1"/>
          <w:szCs w:val="24"/>
          <w:lang w:val="es-EC"/>
        </w:rPr>
        <w:t>Por el contrario, nuestra investigación ofrece un análisis exhaustivo de las habilidades lectoras, no solo en términos de velocidad lectora, sino también de los procesos involucrados en la comprensión, que sería el fin último de la lectura.</w:t>
      </w:r>
    </w:p>
    <w:p w14:paraId="7A3A1C32" w14:textId="4DD3DBEE" w:rsidR="00A13779" w:rsidRPr="00B059E0" w:rsidRDefault="40F080B7" w:rsidP="00B059E0">
      <w:pPr>
        <w:spacing w:line="240" w:lineRule="auto"/>
        <w:ind w:firstLine="720"/>
        <w:jc w:val="both"/>
        <w:rPr>
          <w:szCs w:val="24"/>
          <w:lang w:val="es-EC"/>
        </w:rPr>
      </w:pPr>
      <w:r w:rsidRPr="00B059E0">
        <w:rPr>
          <w:color w:val="000000" w:themeColor="text1"/>
          <w:szCs w:val="24"/>
          <w:lang w:val="es-EC"/>
        </w:rPr>
        <w:t xml:space="preserve">Adicionalmente, la </w:t>
      </w:r>
      <w:r w:rsidR="001C1939" w:rsidRPr="00B059E0">
        <w:rPr>
          <w:szCs w:val="24"/>
          <w:lang w:val="es-EC"/>
        </w:rPr>
        <w:t>novedad del presente estudio en comparación con otros estudios, y en especial el de Tacuri-Reino et al. (2018), ha sido ofrecer más datos empíricos que los encontrados en estudios previos y en un área en la que la investigación ya es muy escasa. Esta investigación ofrece un estudio sobre la</w:t>
      </w:r>
      <w:r w:rsidR="003A297D" w:rsidRPr="00B059E0">
        <w:rPr>
          <w:szCs w:val="24"/>
          <w:lang w:val="es-EC"/>
        </w:rPr>
        <w:t xml:space="preserve">s habilidades </w:t>
      </w:r>
      <w:r w:rsidR="001C1939" w:rsidRPr="00B059E0">
        <w:rPr>
          <w:szCs w:val="24"/>
          <w:lang w:val="es-EC"/>
        </w:rPr>
        <w:t>lectora</w:t>
      </w:r>
      <w:r w:rsidR="003A297D" w:rsidRPr="00B059E0">
        <w:rPr>
          <w:szCs w:val="24"/>
          <w:lang w:val="es-EC"/>
        </w:rPr>
        <w:t>s</w:t>
      </w:r>
      <w:r w:rsidR="001C1939" w:rsidRPr="00B059E0">
        <w:rPr>
          <w:szCs w:val="24"/>
          <w:lang w:val="es-EC"/>
        </w:rPr>
        <w:t xml:space="preserve"> en personas con síndrome de Irlen, en el que, además del análisis de la comprensión visual (con dos medidas), se presentan datos con una medida de comprensión oral.</w:t>
      </w:r>
    </w:p>
    <w:p w14:paraId="338247A5" w14:textId="1B8D24FA" w:rsidR="00A13779" w:rsidRPr="00B059E0" w:rsidRDefault="001C1939" w:rsidP="00B059E0">
      <w:pPr>
        <w:spacing w:line="240" w:lineRule="auto"/>
        <w:ind w:firstLine="720"/>
        <w:jc w:val="both"/>
        <w:rPr>
          <w:szCs w:val="24"/>
          <w:lang w:val="es-EC"/>
        </w:rPr>
      </w:pPr>
      <w:r w:rsidRPr="00B059E0">
        <w:rPr>
          <w:szCs w:val="24"/>
          <w:lang w:val="es-EC"/>
        </w:rPr>
        <w:t>El uso de todas estas diferentes medidas nos permitió examinar las habilidades de lectura de manera más amplia y profunda. Se consideraron los postulados de autores como Cuetos (2010) y Cuetos et al. (2009)</w:t>
      </w:r>
      <w:r w:rsidR="00F20990" w:rsidRPr="00B059E0">
        <w:rPr>
          <w:szCs w:val="24"/>
          <w:lang w:val="es-EC"/>
        </w:rPr>
        <w:t>,</w:t>
      </w:r>
      <w:r w:rsidRPr="00B059E0">
        <w:rPr>
          <w:szCs w:val="24"/>
          <w:lang w:val="es-EC"/>
        </w:rPr>
        <w:t xml:space="preserve"> quienes coincidieron en que para alcanzar el objetivo final de la lectura se requieren procesos como la identificación de letras, procesos léxicos, gramaticales y semánticos.</w:t>
      </w:r>
    </w:p>
    <w:p w14:paraId="3674CBE0" w14:textId="5038360F" w:rsidR="00A13779" w:rsidRPr="00B059E0" w:rsidRDefault="001C1939" w:rsidP="00B059E0">
      <w:pPr>
        <w:spacing w:line="240" w:lineRule="auto"/>
        <w:ind w:firstLine="720"/>
        <w:jc w:val="both"/>
        <w:rPr>
          <w:szCs w:val="24"/>
          <w:lang w:val="es-EC"/>
        </w:rPr>
      </w:pPr>
      <w:r w:rsidRPr="00B059E0">
        <w:rPr>
          <w:szCs w:val="24"/>
          <w:lang w:val="es-EC"/>
        </w:rPr>
        <w:t>El hecho de contar con dos medidas de comprensión visual ha contribuido a tener una perspectiva más amplia de la comprensión lectora, dependiendo del grado de dificultad en la lectura, la necesidad de retención de la memoria, así como el procesamiento de la información y el uso adecuado de los signos de puntuación para entender el mensaje. Asimismo, la medida de comprensión auditiva tiene un énfasis especial, ya que permitió describir cómo el síndrome de Irlen influye específicamente en la comprensión visual y</w:t>
      </w:r>
      <w:r w:rsidR="00F20990" w:rsidRPr="00B059E0">
        <w:rPr>
          <w:szCs w:val="24"/>
          <w:lang w:val="es-EC"/>
        </w:rPr>
        <w:t>,</w:t>
      </w:r>
      <w:r w:rsidRPr="00B059E0">
        <w:rPr>
          <w:szCs w:val="24"/>
          <w:lang w:val="es-EC"/>
        </w:rPr>
        <w:t xml:space="preserve"> al mismo tiempo, se descartó que pudiera afectar significativamente la comprensión oral. La investigación futura podría considerar incluir medidas de comprensión auditiva con varias tareas, tal como se ha estudiado la comprensión visual, lo que proporcionaría un análisis más profundo de la comprensión auditiva en personas con síndrome de Irlen.</w:t>
      </w:r>
    </w:p>
    <w:p w14:paraId="760ACF8A" w14:textId="134D98C4" w:rsidR="00C55161" w:rsidRPr="00B059E0" w:rsidRDefault="001C1939" w:rsidP="00B059E0">
      <w:pPr>
        <w:spacing w:line="240" w:lineRule="auto"/>
        <w:jc w:val="both"/>
        <w:rPr>
          <w:b/>
          <w:bCs/>
          <w:szCs w:val="24"/>
          <w:lang w:val="es-EC"/>
        </w:rPr>
      </w:pPr>
      <w:r w:rsidRPr="00B059E0">
        <w:rPr>
          <w:szCs w:val="24"/>
          <w:lang w:val="es-EC"/>
        </w:rPr>
        <w:t>En cuanto a las limitaciones, el presente estudio no contó con una medida de inteligencia, aunque uno de los criterios de exclusión fue no incluir participantes que necesitaran alguna adaptación curricular o tuvieran un diagnóstico psicológico relacionado con alguna discapacidad intelectual.</w:t>
      </w:r>
    </w:p>
    <w:p w14:paraId="55985CAA" w14:textId="0D3B82EC" w:rsidR="00C55161" w:rsidRPr="00B059E0" w:rsidRDefault="001C1939" w:rsidP="00B059E0">
      <w:pPr>
        <w:spacing w:line="240" w:lineRule="auto"/>
        <w:ind w:firstLine="720"/>
        <w:jc w:val="both"/>
        <w:rPr>
          <w:szCs w:val="24"/>
          <w:lang w:val="es-EC"/>
        </w:rPr>
      </w:pPr>
      <w:r w:rsidRPr="00B059E0">
        <w:rPr>
          <w:szCs w:val="24"/>
          <w:lang w:val="es-EC"/>
        </w:rPr>
        <w:t>Otra limitación fue que se consideró una sola medida para comparar con la comprensión visual</w:t>
      </w:r>
      <w:r w:rsidR="003A297D" w:rsidRPr="00B059E0">
        <w:rPr>
          <w:szCs w:val="24"/>
          <w:lang w:val="es-EC"/>
        </w:rPr>
        <w:t>,</w:t>
      </w:r>
      <w:r w:rsidRPr="00B059E0">
        <w:rPr>
          <w:szCs w:val="24"/>
          <w:lang w:val="es-EC"/>
        </w:rPr>
        <w:t xml:space="preserve"> para l</w:t>
      </w:r>
      <w:r w:rsidR="003A297D" w:rsidRPr="00B059E0">
        <w:rPr>
          <w:szCs w:val="24"/>
          <w:lang w:val="es-EC"/>
        </w:rPr>
        <w:t>a</w:t>
      </w:r>
      <w:r w:rsidRPr="00B059E0">
        <w:rPr>
          <w:szCs w:val="24"/>
          <w:lang w:val="es-EC"/>
        </w:rPr>
        <w:t xml:space="preserve"> cual se consideraron tres variables.</w:t>
      </w:r>
    </w:p>
    <w:p w14:paraId="47508F5B" w14:textId="6FA7A0F2" w:rsidR="6A6F3AE7" w:rsidRPr="00B059E0" w:rsidRDefault="001C1939" w:rsidP="00B059E0">
      <w:pPr>
        <w:spacing w:line="240" w:lineRule="auto"/>
        <w:jc w:val="both"/>
        <w:rPr>
          <w:szCs w:val="24"/>
          <w:lang w:val="es-EC"/>
        </w:rPr>
      </w:pPr>
      <w:r w:rsidRPr="00B059E0">
        <w:rPr>
          <w:szCs w:val="24"/>
          <w:lang w:val="es-EC"/>
        </w:rPr>
        <w:t xml:space="preserve">Además, aunque los centros educativos eran de contextos socioculturales similares, las condiciones socioeconómicas, los problemas de comportamiento y los problemas patológicos sutiles presentados en los participantes no se consideraron con mayor detalle. Este aspecto debería ser considerado en futuros estudios, ya que los factores situacionales </w:t>
      </w:r>
      <w:r w:rsidR="40F080B7" w:rsidRPr="00B059E0">
        <w:rPr>
          <w:color w:val="000000" w:themeColor="text1"/>
          <w:szCs w:val="24"/>
          <w:lang w:val="es-EC"/>
        </w:rPr>
        <w:t xml:space="preserve">(Hu et al., 2022) </w:t>
      </w:r>
      <w:r w:rsidRPr="00B059E0">
        <w:rPr>
          <w:szCs w:val="24"/>
          <w:lang w:val="es-EC"/>
        </w:rPr>
        <w:t>afectan significativamente la</w:t>
      </w:r>
      <w:r w:rsidR="003A297D" w:rsidRPr="00B059E0">
        <w:rPr>
          <w:szCs w:val="24"/>
          <w:lang w:val="es-EC"/>
        </w:rPr>
        <w:t>s</w:t>
      </w:r>
      <w:r w:rsidRPr="00B059E0">
        <w:rPr>
          <w:szCs w:val="24"/>
          <w:lang w:val="es-EC"/>
        </w:rPr>
        <w:t xml:space="preserve"> habilidad</w:t>
      </w:r>
      <w:r w:rsidR="003A297D" w:rsidRPr="00B059E0">
        <w:rPr>
          <w:szCs w:val="24"/>
          <w:lang w:val="es-EC"/>
        </w:rPr>
        <w:t>es</w:t>
      </w:r>
      <w:r w:rsidRPr="00B059E0">
        <w:rPr>
          <w:szCs w:val="24"/>
          <w:lang w:val="es-EC"/>
        </w:rPr>
        <w:t xml:space="preserve"> lectora</w:t>
      </w:r>
      <w:r w:rsidR="003A297D" w:rsidRPr="00B059E0">
        <w:rPr>
          <w:szCs w:val="24"/>
          <w:lang w:val="es-EC"/>
        </w:rPr>
        <w:t>s</w:t>
      </w:r>
      <w:r w:rsidRPr="00B059E0">
        <w:rPr>
          <w:szCs w:val="24"/>
          <w:lang w:val="es-EC"/>
        </w:rPr>
        <w:t xml:space="preserve"> y en esta área de investigación, sobre la habilidad lectora en personas con síndrome de Irlen, no existen muchos estudios que analicen estas variables. </w:t>
      </w:r>
    </w:p>
    <w:p w14:paraId="629CA56E" w14:textId="342C7975" w:rsidR="00BF4A54" w:rsidRPr="00B059E0" w:rsidRDefault="00116DD2" w:rsidP="00B059E0">
      <w:pPr>
        <w:spacing w:line="240" w:lineRule="auto"/>
        <w:jc w:val="both"/>
        <w:rPr>
          <w:szCs w:val="24"/>
          <w:lang w:val="es-EC"/>
        </w:rPr>
      </w:pPr>
      <w:r w:rsidRPr="00B059E0">
        <w:rPr>
          <w:szCs w:val="24"/>
          <w:lang w:val="es-EC"/>
        </w:rPr>
        <w:t>Además, deben considerar</w:t>
      </w:r>
      <w:r w:rsidR="003B589A" w:rsidRPr="00B059E0">
        <w:rPr>
          <w:szCs w:val="24"/>
          <w:lang w:val="es-EC"/>
        </w:rPr>
        <w:t>se</w:t>
      </w:r>
      <w:r w:rsidRPr="00B059E0">
        <w:rPr>
          <w:szCs w:val="24"/>
          <w:lang w:val="es-EC"/>
        </w:rPr>
        <w:t xml:space="preserve"> las limitaciones psicométricas del PROLEC-R, ya que pueden existir diferencias de grupo, pero no fueron identificadas con este instrumento específico. Otra limitación se refiere a la propia selección del grupo, ya que los participantes con dificultades de lectura </w:t>
      </w:r>
      <w:r w:rsidR="00697EEE" w:rsidRPr="00B059E0">
        <w:rPr>
          <w:szCs w:val="24"/>
          <w:lang w:val="es-EC"/>
        </w:rPr>
        <w:t xml:space="preserve">de según la </w:t>
      </w:r>
      <w:r w:rsidR="003A297D" w:rsidRPr="00B059E0">
        <w:rPr>
          <w:szCs w:val="24"/>
          <w:lang w:val="es-EC"/>
        </w:rPr>
        <w:t>escala</w:t>
      </w:r>
      <w:r w:rsidRPr="00B059E0">
        <w:rPr>
          <w:szCs w:val="24"/>
          <w:lang w:val="es-EC"/>
        </w:rPr>
        <w:t xml:space="preserve"> IRPS se concentraron en el </w:t>
      </w:r>
      <w:r w:rsidR="004E04C1" w:rsidRPr="00B059E0">
        <w:rPr>
          <w:szCs w:val="24"/>
          <w:lang w:val="es-EC"/>
        </w:rPr>
        <w:t>GSI</w:t>
      </w:r>
      <w:r w:rsidRPr="00B059E0">
        <w:rPr>
          <w:szCs w:val="24"/>
          <w:lang w:val="es-EC"/>
        </w:rPr>
        <w:t>.</w:t>
      </w:r>
    </w:p>
    <w:p w14:paraId="0B4CC82B" w14:textId="77777777" w:rsidR="00E00B56" w:rsidRPr="00B059E0" w:rsidRDefault="00E00B56" w:rsidP="00B059E0">
      <w:pPr>
        <w:spacing w:line="240" w:lineRule="auto"/>
        <w:jc w:val="both"/>
        <w:rPr>
          <w:b/>
          <w:bCs/>
          <w:szCs w:val="24"/>
          <w:lang w:val="es-EC"/>
        </w:rPr>
      </w:pPr>
    </w:p>
    <w:p w14:paraId="6836D049" w14:textId="39782968" w:rsidR="004B3CCD" w:rsidRPr="00B059E0" w:rsidRDefault="001C1939" w:rsidP="00B059E0">
      <w:pPr>
        <w:spacing w:line="240" w:lineRule="auto"/>
        <w:ind w:firstLine="0"/>
        <w:jc w:val="both"/>
        <w:rPr>
          <w:b/>
          <w:bCs/>
          <w:szCs w:val="24"/>
          <w:lang w:val="es-EC"/>
        </w:rPr>
      </w:pPr>
      <w:bookmarkStart w:id="18" w:name="_Toc42904644"/>
      <w:bookmarkStart w:id="19" w:name="_Toc45663005"/>
      <w:r w:rsidRPr="00B059E0">
        <w:rPr>
          <w:b/>
          <w:bCs/>
          <w:szCs w:val="24"/>
          <w:lang w:val="es-EC"/>
        </w:rPr>
        <w:t>C</w:t>
      </w:r>
      <w:bookmarkEnd w:id="15"/>
      <w:bookmarkEnd w:id="18"/>
      <w:bookmarkEnd w:id="19"/>
      <w:r w:rsidRPr="00B059E0">
        <w:rPr>
          <w:b/>
          <w:bCs/>
          <w:szCs w:val="24"/>
          <w:lang w:val="es-EC"/>
        </w:rPr>
        <w:t>onclusiones</w:t>
      </w:r>
    </w:p>
    <w:p w14:paraId="21686574" w14:textId="626B5EA7" w:rsidR="002D4BFB" w:rsidRPr="00B059E0" w:rsidRDefault="001C1939" w:rsidP="00B059E0">
      <w:pPr>
        <w:spacing w:line="240" w:lineRule="auto"/>
        <w:jc w:val="both"/>
        <w:rPr>
          <w:rFonts w:eastAsia="Times New Roman"/>
          <w:szCs w:val="24"/>
          <w:lang w:val="es-EC"/>
        </w:rPr>
      </w:pPr>
      <w:r w:rsidRPr="00B059E0">
        <w:rPr>
          <w:szCs w:val="24"/>
          <w:lang w:val="es-EC"/>
        </w:rPr>
        <w:lastRenderedPageBreak/>
        <w:t xml:space="preserve">En cuanto a la identificación de letras, se evidenció que tanto el </w:t>
      </w:r>
      <w:r w:rsidR="00F20990" w:rsidRPr="00B059E0">
        <w:rPr>
          <w:szCs w:val="24"/>
          <w:lang w:val="es-EC"/>
        </w:rPr>
        <w:t>GC</w:t>
      </w:r>
      <w:r w:rsidRPr="00B059E0">
        <w:rPr>
          <w:szCs w:val="24"/>
          <w:lang w:val="es-EC"/>
        </w:rPr>
        <w:t xml:space="preserve"> como el </w:t>
      </w:r>
      <w:r w:rsidR="00747B3B" w:rsidRPr="00B059E0">
        <w:rPr>
          <w:szCs w:val="24"/>
          <w:lang w:val="es-EC"/>
        </w:rPr>
        <w:t>GSI</w:t>
      </w:r>
      <w:r w:rsidRPr="00B059E0">
        <w:rPr>
          <w:szCs w:val="24"/>
          <w:lang w:val="es-EC"/>
        </w:rPr>
        <w:t xml:space="preserve"> tuvieron </w:t>
      </w:r>
      <w:r w:rsidR="001A2FFB" w:rsidRPr="00B059E0">
        <w:rPr>
          <w:szCs w:val="24"/>
          <w:lang w:val="es-EC"/>
        </w:rPr>
        <w:t>rendimiento</w:t>
      </w:r>
      <w:r w:rsidRPr="00B059E0">
        <w:rPr>
          <w:szCs w:val="24"/>
          <w:lang w:val="es-EC"/>
        </w:rPr>
        <w:t>s similares y favorables para su edad, por lo que se concluye que el aprendizaje de letras, fundamental para la lectura, no influyó en la diferenciación.</w:t>
      </w:r>
    </w:p>
    <w:p w14:paraId="35A53CF6" w14:textId="33381493" w:rsidR="001C2EDF" w:rsidRPr="00B059E0" w:rsidRDefault="001C1939" w:rsidP="00B059E0">
      <w:pPr>
        <w:spacing w:line="240" w:lineRule="auto"/>
        <w:jc w:val="both"/>
        <w:rPr>
          <w:szCs w:val="24"/>
          <w:lang w:val="es-EC"/>
        </w:rPr>
      </w:pPr>
      <w:r w:rsidRPr="00B059E0">
        <w:rPr>
          <w:szCs w:val="24"/>
          <w:lang w:val="es-EC"/>
        </w:rPr>
        <w:t>En cuanto a los procesos léxico</w:t>
      </w:r>
      <w:r w:rsidR="001A2FFB" w:rsidRPr="00B059E0">
        <w:rPr>
          <w:szCs w:val="24"/>
          <w:lang w:val="es-EC"/>
        </w:rPr>
        <w:t>s</w:t>
      </w:r>
      <w:r w:rsidRPr="00B059E0">
        <w:rPr>
          <w:szCs w:val="24"/>
          <w:lang w:val="es-EC"/>
        </w:rPr>
        <w:t>, la constatación de las diferencias entre grupos permitió concluir que los procesos perceptuales para la adquisición rápida de la palabra pueden verse afectados por el síndrome de Irlen y esto dificultaría la distinción efectiva de las palabras.</w:t>
      </w:r>
    </w:p>
    <w:p w14:paraId="43EDDDD7" w14:textId="07B705E1" w:rsidR="001C2EDF" w:rsidRPr="00B059E0" w:rsidRDefault="001C1939" w:rsidP="00B059E0">
      <w:pPr>
        <w:spacing w:line="240" w:lineRule="auto"/>
        <w:jc w:val="both"/>
        <w:rPr>
          <w:szCs w:val="24"/>
          <w:lang w:val="es-EC"/>
        </w:rPr>
      </w:pPr>
      <w:r w:rsidRPr="00B059E0">
        <w:rPr>
          <w:szCs w:val="24"/>
          <w:lang w:val="es-EC"/>
        </w:rPr>
        <w:t xml:space="preserve">En cuanto a los procesos gramaticales, la diferencia parcial entre grupos, iguales en estructuras gramaticales y diferentes en signos de puntuación, llevó a </w:t>
      </w:r>
      <w:r w:rsidR="725740CB" w:rsidRPr="00B059E0">
        <w:rPr>
          <w:szCs w:val="24"/>
          <w:lang w:val="es-EC"/>
        </w:rPr>
        <w:t xml:space="preserve">concluir que la percepción influyó en los resultados. En la primera tarea, las ayudas visuales podrían haber influido en la inclinación por alguna de las formas de respuesta. En </w:t>
      </w:r>
      <w:r w:rsidR="001A2FFB" w:rsidRPr="00B059E0">
        <w:rPr>
          <w:szCs w:val="24"/>
          <w:lang w:val="es-EC"/>
        </w:rPr>
        <w:t>la</w:t>
      </w:r>
      <w:r w:rsidR="725740CB" w:rsidRPr="00B059E0">
        <w:rPr>
          <w:szCs w:val="24"/>
          <w:lang w:val="es-EC"/>
        </w:rPr>
        <w:t xml:space="preserve"> segund</w:t>
      </w:r>
      <w:r w:rsidR="001A2FFB" w:rsidRPr="00B059E0">
        <w:rPr>
          <w:szCs w:val="24"/>
          <w:lang w:val="es-EC"/>
        </w:rPr>
        <w:t>a</w:t>
      </w:r>
      <w:r w:rsidR="725740CB" w:rsidRPr="00B059E0">
        <w:rPr>
          <w:szCs w:val="24"/>
          <w:lang w:val="es-EC"/>
        </w:rPr>
        <w:t>, las omisiones de los signos de puntuación podrían deberse a la capacidad perceptiva. En una nueva ocasión, se podría evaluar la tarea de estructuras gramaticales separando la oración del enunciado de las posibles respuesta</w:t>
      </w:r>
      <w:r w:rsidR="00697EEE" w:rsidRPr="00B059E0">
        <w:rPr>
          <w:szCs w:val="24"/>
          <w:lang w:val="es-EC"/>
        </w:rPr>
        <w:t>s basadas en imágenes</w:t>
      </w:r>
      <w:r w:rsidR="725740CB" w:rsidRPr="00B059E0">
        <w:rPr>
          <w:szCs w:val="24"/>
          <w:lang w:val="es-EC"/>
        </w:rPr>
        <w:t>.</w:t>
      </w:r>
    </w:p>
    <w:p w14:paraId="3FCF01E6" w14:textId="2CB7CB13" w:rsidR="00E00B56" w:rsidRPr="00B059E0" w:rsidRDefault="1C4F700A" w:rsidP="00B059E0">
      <w:pPr>
        <w:spacing w:line="240" w:lineRule="auto"/>
        <w:ind w:firstLine="720"/>
        <w:jc w:val="both"/>
        <w:rPr>
          <w:szCs w:val="24"/>
          <w:lang w:val="es-EC"/>
        </w:rPr>
      </w:pPr>
      <w:r w:rsidRPr="00B059E0">
        <w:rPr>
          <w:szCs w:val="24"/>
          <w:lang w:val="es-EC"/>
        </w:rPr>
        <w:t>Con los procesos semánticos en la comprensión lectora, los resultados indicaron que la comprensión visual puede verse afectada por el síndrome de Irlen. Las diferentes manifestaciones en la dificultad de la percepción visual podrían influir en el procesamiento de la información necesaria para la lectura y más concretamente para la comprensión. Sin embargo, la comprensión oral no parece verse significativamente afectada por el síndrome de Irlen. En este sentido, futuras investigaciones deberían profundizar en la comprensión oral.</w:t>
      </w:r>
    </w:p>
    <w:p w14:paraId="2FC7787F" w14:textId="77777777" w:rsidR="00E00B56" w:rsidRPr="00B059E0" w:rsidRDefault="00E00B56" w:rsidP="00B059E0">
      <w:pPr>
        <w:spacing w:line="240" w:lineRule="auto"/>
        <w:ind w:firstLine="720"/>
        <w:jc w:val="both"/>
        <w:rPr>
          <w:szCs w:val="24"/>
          <w:lang w:val="es-EC"/>
        </w:rPr>
      </w:pPr>
    </w:p>
    <w:p w14:paraId="5C055EC8" w14:textId="77777777" w:rsidR="0046797E" w:rsidRPr="00B059E0" w:rsidRDefault="0046797E" w:rsidP="00B059E0">
      <w:pPr>
        <w:pStyle w:val="Correspondencedetails"/>
        <w:spacing w:before="0" w:line="240" w:lineRule="auto"/>
        <w:jc w:val="both"/>
        <w:rPr>
          <w:lang w:val="es-EC"/>
        </w:rPr>
      </w:pPr>
    </w:p>
    <w:p w14:paraId="6FBAA41C" w14:textId="246E97F9" w:rsidR="004B0411" w:rsidRPr="00B059E0" w:rsidRDefault="1C4F700A" w:rsidP="00B059E0">
      <w:pPr>
        <w:pStyle w:val="Correspondencedetails"/>
        <w:spacing w:before="0" w:line="240" w:lineRule="auto"/>
        <w:jc w:val="both"/>
        <w:rPr>
          <w:b/>
          <w:bCs/>
          <w:color w:val="1C1D1E"/>
          <w:lang w:val="es-EC"/>
        </w:rPr>
      </w:pPr>
      <w:r w:rsidRPr="00B059E0">
        <w:rPr>
          <w:b/>
          <w:bCs/>
          <w:color w:val="1C1D1E"/>
          <w:lang w:val="es-EC"/>
        </w:rPr>
        <w:t>Declaración de disponibilidad de datos</w:t>
      </w:r>
    </w:p>
    <w:p w14:paraId="7C71311C" w14:textId="4561FF11" w:rsidR="000B59A2" w:rsidRDefault="004B0411" w:rsidP="00246147">
      <w:pPr>
        <w:pStyle w:val="Correspondencedetails"/>
        <w:spacing w:before="0" w:line="240" w:lineRule="auto"/>
        <w:jc w:val="both"/>
        <w:rPr>
          <w:b/>
          <w:bCs/>
          <w:lang w:val="es-ES"/>
        </w:rPr>
      </w:pPr>
      <w:r w:rsidRPr="00B059E0">
        <w:rPr>
          <w:color w:val="1C1D1E"/>
        </w:rPr>
        <w:t>Los datos que respaldan los hallazgos de este estudio están disponibles abiertamente</w:t>
      </w:r>
      <w:r w:rsidR="00246147">
        <w:rPr>
          <w:color w:val="1C1D1E"/>
        </w:rPr>
        <w:t xml:space="preserve"> </w:t>
      </w:r>
      <w:r w:rsidRPr="00B059E0">
        <w:rPr>
          <w:color w:val="1C1D1E"/>
        </w:rPr>
        <w:t>en</w:t>
      </w:r>
      <w:bookmarkStart w:id="20" w:name="_Toc4620059"/>
      <w:bookmarkStart w:id="21" w:name="_Toc40025296"/>
      <w:bookmarkStart w:id="22" w:name="_Toc42904645"/>
      <w:bookmarkStart w:id="23" w:name="_Toc45663006"/>
      <w:r w:rsidR="00246147">
        <w:rPr>
          <w:color w:val="1C1D1E"/>
        </w:rPr>
        <w:t xml:space="preserve"> </w:t>
      </w:r>
      <w:r w:rsidR="00246147">
        <w:rPr>
          <w:i/>
          <w:iCs/>
          <w:color w:val="1C1D1E"/>
        </w:rPr>
        <w:t>e-</w:t>
      </w:r>
      <w:proofErr w:type="spellStart"/>
      <w:r w:rsidR="00246147">
        <w:rPr>
          <w:i/>
          <w:iCs/>
          <w:color w:val="1C1D1E"/>
        </w:rPr>
        <w:t>SpacioUNED</w:t>
      </w:r>
      <w:proofErr w:type="spellEnd"/>
      <w:r w:rsidR="00246147">
        <w:rPr>
          <w:i/>
          <w:iCs/>
          <w:color w:val="1C1D1E"/>
        </w:rPr>
        <w:t>.</w:t>
      </w:r>
    </w:p>
    <w:p w14:paraId="52BEB874" w14:textId="77777777" w:rsidR="000B59A2" w:rsidRDefault="000B59A2" w:rsidP="00B059E0">
      <w:pPr>
        <w:spacing w:line="240" w:lineRule="auto"/>
        <w:ind w:firstLine="0"/>
        <w:jc w:val="both"/>
        <w:rPr>
          <w:b/>
          <w:bCs/>
          <w:szCs w:val="24"/>
          <w:lang w:val="es-ES"/>
        </w:rPr>
      </w:pPr>
    </w:p>
    <w:p w14:paraId="2E341F15" w14:textId="1D75FEDA" w:rsidR="004B3CCD" w:rsidRPr="00B059E0" w:rsidRDefault="4379D923" w:rsidP="00B059E0">
      <w:pPr>
        <w:spacing w:line="240" w:lineRule="auto"/>
        <w:ind w:firstLine="0"/>
        <w:jc w:val="both"/>
        <w:rPr>
          <w:b/>
          <w:bCs/>
          <w:szCs w:val="24"/>
          <w:lang w:val="es-ES"/>
        </w:rPr>
      </w:pPr>
      <w:r w:rsidRPr="00B059E0">
        <w:rPr>
          <w:b/>
          <w:bCs/>
          <w:szCs w:val="24"/>
          <w:lang w:val="es-ES"/>
        </w:rPr>
        <w:t>R</w:t>
      </w:r>
      <w:bookmarkEnd w:id="20"/>
      <w:bookmarkEnd w:id="21"/>
      <w:bookmarkEnd w:id="22"/>
      <w:bookmarkEnd w:id="23"/>
      <w:r w:rsidRPr="00B059E0">
        <w:rPr>
          <w:b/>
          <w:bCs/>
          <w:szCs w:val="24"/>
          <w:lang w:val="es-ES"/>
        </w:rPr>
        <w:t>eferencias</w:t>
      </w:r>
    </w:p>
    <w:p w14:paraId="62B5A411" w14:textId="70DBC6A7" w:rsidR="00BC255B" w:rsidRPr="00B059E0" w:rsidRDefault="00F1486F" w:rsidP="00BC255B">
      <w:pPr>
        <w:spacing w:line="240" w:lineRule="auto"/>
        <w:ind w:left="720" w:hanging="720"/>
        <w:jc w:val="both"/>
        <w:rPr>
          <w:szCs w:val="24"/>
          <w:lang w:val="en-US"/>
        </w:rPr>
      </w:pPr>
      <w:r w:rsidRPr="00B059E0">
        <w:rPr>
          <w:szCs w:val="24"/>
          <w:lang w:val="es-ES"/>
        </w:rPr>
        <w:t>Al-</w:t>
      </w:r>
      <w:proofErr w:type="spellStart"/>
      <w:r w:rsidRPr="00B059E0">
        <w:rPr>
          <w:szCs w:val="24"/>
          <w:lang w:val="es-ES"/>
        </w:rPr>
        <w:t>Zoubi</w:t>
      </w:r>
      <w:proofErr w:type="spellEnd"/>
      <w:r w:rsidRPr="00B059E0">
        <w:rPr>
          <w:szCs w:val="24"/>
          <w:lang w:val="es-ES"/>
        </w:rPr>
        <w:t>, S.</w:t>
      </w:r>
      <w:r w:rsidR="00CF2F17" w:rsidRPr="00B059E0">
        <w:rPr>
          <w:szCs w:val="24"/>
          <w:lang w:val="es-ES"/>
        </w:rPr>
        <w:t xml:space="preserve"> </w:t>
      </w:r>
      <w:r w:rsidRPr="00B059E0">
        <w:rPr>
          <w:szCs w:val="24"/>
          <w:lang w:val="es-ES"/>
        </w:rPr>
        <w:t xml:space="preserve">M. (2021). </w:t>
      </w:r>
      <w:r w:rsidRPr="00B059E0">
        <w:rPr>
          <w:szCs w:val="24"/>
          <w:lang w:val="en-US"/>
        </w:rPr>
        <w:t xml:space="preserve">Prevalence of Scotopic Sensitivity Syndrome among Arab </w:t>
      </w:r>
      <w:r w:rsidR="00881D3D">
        <w:rPr>
          <w:szCs w:val="24"/>
          <w:lang w:val="en-US"/>
        </w:rPr>
        <w:t>s</w:t>
      </w:r>
      <w:r w:rsidRPr="00B059E0">
        <w:rPr>
          <w:szCs w:val="24"/>
          <w:lang w:val="en-US"/>
        </w:rPr>
        <w:t xml:space="preserve">tudents with and without </w:t>
      </w:r>
      <w:r w:rsidR="00881D3D">
        <w:rPr>
          <w:szCs w:val="24"/>
          <w:lang w:val="en-US"/>
        </w:rPr>
        <w:t>l</w:t>
      </w:r>
      <w:r w:rsidRPr="00B059E0">
        <w:rPr>
          <w:szCs w:val="24"/>
          <w:lang w:val="en-US"/>
        </w:rPr>
        <w:t xml:space="preserve">earning </w:t>
      </w:r>
      <w:r w:rsidR="00881D3D">
        <w:rPr>
          <w:szCs w:val="24"/>
          <w:lang w:val="en-US"/>
        </w:rPr>
        <w:t>d</w:t>
      </w:r>
      <w:r w:rsidRPr="00B059E0">
        <w:rPr>
          <w:szCs w:val="24"/>
          <w:lang w:val="en-US"/>
        </w:rPr>
        <w:t xml:space="preserve">isabilities. </w:t>
      </w:r>
      <w:r w:rsidRPr="00B059E0">
        <w:rPr>
          <w:i/>
          <w:iCs/>
          <w:szCs w:val="24"/>
          <w:lang w:val="en-US"/>
        </w:rPr>
        <w:t>International Journal of Early Childhood Special Education, 13</w:t>
      </w:r>
      <w:r w:rsidRPr="00B059E0">
        <w:rPr>
          <w:szCs w:val="24"/>
          <w:lang w:val="en-US"/>
        </w:rPr>
        <w:t>(2), 299-305.</w:t>
      </w:r>
      <w:r w:rsidR="00246444">
        <w:rPr>
          <w:szCs w:val="24"/>
          <w:lang w:val="en-US"/>
        </w:rPr>
        <w:t xml:space="preserve"> </w:t>
      </w:r>
      <w:hyperlink r:id="rId14" w:history="1">
        <w:r w:rsidR="00246444" w:rsidRPr="00A71F31">
          <w:rPr>
            <w:rStyle w:val="Hipervnculo"/>
            <w:szCs w:val="24"/>
            <w:lang w:val="en-US"/>
          </w:rPr>
          <w:t>https://doi.org/10.9756/INT-JECSE/V13I2.211065</w:t>
        </w:r>
      </w:hyperlink>
      <w:r w:rsidR="00246444">
        <w:rPr>
          <w:szCs w:val="24"/>
          <w:lang w:val="en-US"/>
        </w:rPr>
        <w:t xml:space="preserve"> </w:t>
      </w:r>
    </w:p>
    <w:p w14:paraId="54BD27F0" w14:textId="51CA5361" w:rsidR="00F1486F" w:rsidRPr="00B059E0" w:rsidRDefault="00F1486F" w:rsidP="00B059E0">
      <w:pPr>
        <w:spacing w:line="240" w:lineRule="auto"/>
        <w:ind w:left="720" w:hanging="720"/>
        <w:jc w:val="both"/>
        <w:rPr>
          <w:szCs w:val="24"/>
          <w:lang w:val="en-US"/>
        </w:rPr>
      </w:pPr>
      <w:r w:rsidRPr="00B059E0">
        <w:rPr>
          <w:szCs w:val="24"/>
          <w:lang w:val="en-US"/>
        </w:rPr>
        <w:t>Altman, J.</w:t>
      </w:r>
      <w:r w:rsidR="00CF2F17" w:rsidRPr="00B059E0">
        <w:rPr>
          <w:szCs w:val="24"/>
          <w:lang w:val="en-US"/>
        </w:rPr>
        <w:t xml:space="preserve"> </w:t>
      </w:r>
      <w:r w:rsidRPr="00B059E0">
        <w:rPr>
          <w:szCs w:val="24"/>
          <w:lang w:val="en-US"/>
        </w:rPr>
        <w:t xml:space="preserve">B. (2003). </w:t>
      </w:r>
      <w:r w:rsidRPr="00B059E0">
        <w:rPr>
          <w:i/>
          <w:iCs/>
          <w:szCs w:val="24"/>
          <w:lang w:val="en-US"/>
        </w:rPr>
        <w:t>Irlen Syndrome and the reading process</w:t>
      </w:r>
      <w:r w:rsidRPr="00B059E0">
        <w:rPr>
          <w:szCs w:val="24"/>
          <w:lang w:val="en-US"/>
        </w:rPr>
        <w:t>. California State University.</w:t>
      </w:r>
    </w:p>
    <w:p w14:paraId="77B20B29" w14:textId="32364A33" w:rsidR="00F1486F" w:rsidRPr="00B059E0" w:rsidRDefault="00F1486F" w:rsidP="00B059E0">
      <w:pPr>
        <w:spacing w:line="240" w:lineRule="auto"/>
        <w:ind w:left="720" w:hanging="720"/>
        <w:jc w:val="both"/>
        <w:rPr>
          <w:szCs w:val="24"/>
          <w:lang w:val="en-US"/>
        </w:rPr>
      </w:pPr>
      <w:r w:rsidRPr="00DA2A14">
        <w:rPr>
          <w:szCs w:val="24"/>
          <w:lang w:val="en-US"/>
        </w:rPr>
        <w:t>Bernal, M., Arias</w:t>
      </w:r>
      <w:r w:rsidR="00881D3D" w:rsidRPr="00DA2A14">
        <w:rPr>
          <w:szCs w:val="24"/>
          <w:lang w:val="en-US"/>
        </w:rPr>
        <w:t>-</w:t>
      </w:r>
      <w:r w:rsidRPr="00DA2A14">
        <w:rPr>
          <w:szCs w:val="24"/>
          <w:lang w:val="en-US"/>
        </w:rPr>
        <w:t>Medina, P.</w:t>
      </w:r>
      <w:r w:rsidR="007D352E" w:rsidRPr="00DA2A14">
        <w:rPr>
          <w:szCs w:val="24"/>
          <w:lang w:val="en-US"/>
        </w:rPr>
        <w:t>,</w:t>
      </w:r>
      <w:r w:rsidRPr="00DA2A14">
        <w:rPr>
          <w:szCs w:val="24"/>
          <w:lang w:val="en-US"/>
        </w:rPr>
        <w:t xml:space="preserve"> &amp; Tacuri-Reino, R. (2021). </w:t>
      </w:r>
      <w:r w:rsidRPr="00B059E0">
        <w:rPr>
          <w:szCs w:val="24"/>
          <w:lang w:val="en-US"/>
        </w:rPr>
        <w:t xml:space="preserve">Structural validity of an instrument for the evaluation of Irlen Syndrome. </w:t>
      </w:r>
      <w:r w:rsidR="00881D3D">
        <w:rPr>
          <w:szCs w:val="24"/>
          <w:lang w:val="en-US"/>
        </w:rPr>
        <w:t xml:space="preserve">In </w:t>
      </w:r>
      <w:r w:rsidRPr="00B059E0">
        <w:rPr>
          <w:i/>
          <w:iCs/>
          <w:szCs w:val="24"/>
          <w:lang w:val="en-US"/>
        </w:rPr>
        <w:t xml:space="preserve">XV International Symposium of Psycholinguistics. </w:t>
      </w:r>
      <w:r w:rsidRPr="00B059E0">
        <w:rPr>
          <w:szCs w:val="24"/>
          <w:lang w:val="en-US"/>
        </w:rPr>
        <w:t xml:space="preserve">Virtual Symposium. </w:t>
      </w:r>
      <w:r w:rsidR="00347531">
        <w:rPr>
          <w:szCs w:val="24"/>
          <w:lang w:val="en-US"/>
        </w:rPr>
        <w:t xml:space="preserve">Universidad </w:t>
      </w:r>
      <w:proofErr w:type="spellStart"/>
      <w:r w:rsidR="00347531">
        <w:rPr>
          <w:szCs w:val="24"/>
          <w:lang w:val="en-US"/>
        </w:rPr>
        <w:t>Nebrija</w:t>
      </w:r>
      <w:proofErr w:type="spellEnd"/>
      <w:r w:rsidRPr="00B059E0">
        <w:rPr>
          <w:szCs w:val="24"/>
          <w:lang w:val="en-US"/>
        </w:rPr>
        <w:t xml:space="preserve"> and </w:t>
      </w:r>
      <w:r w:rsidR="00347531">
        <w:rPr>
          <w:szCs w:val="24"/>
          <w:lang w:val="en-US"/>
        </w:rPr>
        <w:t xml:space="preserve">Universidad </w:t>
      </w:r>
      <w:proofErr w:type="spellStart"/>
      <w:r w:rsidR="00347531">
        <w:rPr>
          <w:szCs w:val="24"/>
          <w:lang w:val="en-US"/>
        </w:rPr>
        <w:t>Complutense</w:t>
      </w:r>
      <w:proofErr w:type="spellEnd"/>
      <w:r w:rsidR="00347531">
        <w:rPr>
          <w:szCs w:val="24"/>
          <w:lang w:val="en-US"/>
        </w:rPr>
        <w:t xml:space="preserve"> de Madrid</w:t>
      </w:r>
      <w:r w:rsidRPr="00B059E0">
        <w:rPr>
          <w:szCs w:val="24"/>
          <w:lang w:val="en-US"/>
        </w:rPr>
        <w:t>, Madrid, June 22-25.</w:t>
      </w:r>
    </w:p>
    <w:p w14:paraId="04631018" w14:textId="6B060AB3" w:rsidR="00F1486F" w:rsidRPr="00B059E0" w:rsidRDefault="00F1486F" w:rsidP="00B059E0">
      <w:pPr>
        <w:spacing w:line="240" w:lineRule="auto"/>
        <w:ind w:left="720" w:hanging="720"/>
        <w:jc w:val="both"/>
        <w:rPr>
          <w:szCs w:val="24"/>
          <w:lang w:val="en-US"/>
        </w:rPr>
      </w:pPr>
      <w:r w:rsidRPr="00CA0098">
        <w:rPr>
          <w:szCs w:val="24"/>
          <w:lang w:val="en-US"/>
        </w:rPr>
        <w:t>Brien, J., De</w:t>
      </w:r>
      <w:r w:rsidR="00881D3D" w:rsidRPr="00CA0098">
        <w:rPr>
          <w:szCs w:val="24"/>
          <w:lang w:val="en-US"/>
        </w:rPr>
        <w:t>-</w:t>
      </w:r>
      <w:r w:rsidRPr="00CA0098">
        <w:rPr>
          <w:szCs w:val="24"/>
          <w:lang w:val="en-US"/>
        </w:rPr>
        <w:t>Ionno, M.</w:t>
      </w:r>
      <w:r w:rsidR="007D352E" w:rsidRPr="00CA0098">
        <w:rPr>
          <w:szCs w:val="24"/>
          <w:lang w:val="en-US"/>
        </w:rPr>
        <w:t>,</w:t>
      </w:r>
      <w:r w:rsidRPr="00CA0098">
        <w:rPr>
          <w:szCs w:val="24"/>
          <w:lang w:val="en-US"/>
        </w:rPr>
        <w:t xml:space="preserve"> &amp; Thomas, G. (2013). </w:t>
      </w:r>
      <w:r w:rsidRPr="00B059E0">
        <w:rPr>
          <w:i/>
          <w:iCs/>
          <w:szCs w:val="24"/>
          <w:lang w:val="en-US"/>
        </w:rPr>
        <w:t>Understanding Irlen Syndrome</w:t>
      </w:r>
      <w:r w:rsidRPr="00B059E0">
        <w:rPr>
          <w:szCs w:val="24"/>
          <w:lang w:val="en-US"/>
        </w:rPr>
        <w:t xml:space="preserve">. </w:t>
      </w:r>
      <w:hyperlink r:id="rId15" w:history="1">
        <w:r w:rsidR="00D3768E" w:rsidRPr="00D413F3">
          <w:rPr>
            <w:rStyle w:val="Hipervnculo"/>
            <w:szCs w:val="24"/>
            <w:lang w:val="en-US"/>
          </w:rPr>
          <w:t>https://aaic.org.au/images/books/Understanding_Irlen_Syndrome_Booklet.pdf</w:t>
        </w:r>
      </w:hyperlink>
      <w:r w:rsidR="00D3768E">
        <w:rPr>
          <w:rStyle w:val="Hipervnculo"/>
          <w:szCs w:val="24"/>
          <w:lang w:val="en-US"/>
        </w:rPr>
        <w:t xml:space="preserve"> </w:t>
      </w:r>
    </w:p>
    <w:p w14:paraId="676D2748" w14:textId="67C941F2" w:rsidR="00F1486F" w:rsidRPr="00B059E0" w:rsidRDefault="00F1486F" w:rsidP="00B059E0">
      <w:pPr>
        <w:spacing w:line="240" w:lineRule="auto"/>
        <w:ind w:left="720" w:hanging="720"/>
        <w:jc w:val="both"/>
        <w:rPr>
          <w:szCs w:val="24"/>
        </w:rPr>
      </w:pPr>
      <w:r w:rsidRPr="00B059E0">
        <w:rPr>
          <w:szCs w:val="24"/>
        </w:rPr>
        <w:t xml:space="preserve">Cuetos, F. (2010). </w:t>
      </w:r>
      <w:r w:rsidRPr="00B059E0">
        <w:rPr>
          <w:i/>
          <w:iCs/>
          <w:szCs w:val="24"/>
        </w:rPr>
        <w:t xml:space="preserve">Psicología de la </w:t>
      </w:r>
      <w:r w:rsidR="00881D3D">
        <w:rPr>
          <w:i/>
          <w:iCs/>
          <w:szCs w:val="24"/>
        </w:rPr>
        <w:t>l</w:t>
      </w:r>
      <w:r w:rsidRPr="00B059E0">
        <w:rPr>
          <w:i/>
          <w:iCs/>
          <w:szCs w:val="24"/>
        </w:rPr>
        <w:t>ectura</w:t>
      </w:r>
      <w:r w:rsidRPr="00B059E0">
        <w:rPr>
          <w:i/>
          <w:szCs w:val="24"/>
        </w:rPr>
        <w:t>.</w:t>
      </w:r>
      <w:r w:rsidRPr="00B059E0">
        <w:rPr>
          <w:szCs w:val="24"/>
        </w:rPr>
        <w:t xml:space="preserve"> </w:t>
      </w:r>
      <w:r w:rsidR="007D6EF3" w:rsidRPr="00B059E0">
        <w:rPr>
          <w:szCs w:val="24"/>
        </w:rPr>
        <w:t>(8</w:t>
      </w:r>
      <w:r w:rsidR="007D6EF3" w:rsidRPr="00B059E0">
        <w:rPr>
          <w:szCs w:val="24"/>
          <w:vertAlign w:val="superscript"/>
        </w:rPr>
        <w:t>th</w:t>
      </w:r>
      <w:r w:rsidR="007D6EF3" w:rsidRPr="00B059E0">
        <w:rPr>
          <w:szCs w:val="24"/>
        </w:rPr>
        <w:t xml:space="preserve"> ed.). </w:t>
      </w:r>
      <w:r w:rsidRPr="00B059E0">
        <w:rPr>
          <w:szCs w:val="24"/>
        </w:rPr>
        <w:t xml:space="preserve">Wolters </w:t>
      </w:r>
      <w:proofErr w:type="spellStart"/>
      <w:r w:rsidRPr="00B059E0">
        <w:rPr>
          <w:szCs w:val="24"/>
        </w:rPr>
        <w:t>Kluwer</w:t>
      </w:r>
      <w:proofErr w:type="spellEnd"/>
      <w:r w:rsidRPr="00B059E0">
        <w:rPr>
          <w:szCs w:val="24"/>
        </w:rPr>
        <w:t>.</w:t>
      </w:r>
    </w:p>
    <w:p w14:paraId="6188E8B2" w14:textId="2EF3BC54" w:rsidR="00F1486F" w:rsidRPr="00DA2A14" w:rsidRDefault="00F1486F" w:rsidP="00B059E0">
      <w:pPr>
        <w:spacing w:line="240" w:lineRule="auto"/>
        <w:ind w:left="720" w:hanging="720"/>
        <w:jc w:val="both"/>
        <w:rPr>
          <w:szCs w:val="24"/>
          <w:lang w:val="es-ES"/>
        </w:rPr>
      </w:pPr>
      <w:r w:rsidRPr="00B059E0">
        <w:rPr>
          <w:szCs w:val="24"/>
        </w:rPr>
        <w:t>Cuetos, F., Rodríguez, B., Ruano, E.</w:t>
      </w:r>
      <w:r w:rsidR="007D352E" w:rsidRPr="00B059E0">
        <w:rPr>
          <w:szCs w:val="24"/>
        </w:rPr>
        <w:t>,</w:t>
      </w:r>
      <w:r w:rsidRPr="00B059E0">
        <w:rPr>
          <w:szCs w:val="24"/>
        </w:rPr>
        <w:t xml:space="preserve"> &amp; Arribas, D. (2009). </w:t>
      </w:r>
      <w:r w:rsidRPr="00347531">
        <w:rPr>
          <w:i/>
          <w:iCs/>
          <w:noProof/>
          <w:szCs w:val="24"/>
          <w:lang w:val="es-ES"/>
        </w:rPr>
        <w:t>PROLEC-R: Batería de evaluación de los procesos lectores</w:t>
      </w:r>
      <w:r w:rsidRPr="00347531">
        <w:rPr>
          <w:szCs w:val="24"/>
          <w:lang w:val="es-ES"/>
        </w:rPr>
        <w:t xml:space="preserve">. </w:t>
      </w:r>
      <w:r w:rsidR="007D6EF3" w:rsidRPr="00DA2A14">
        <w:rPr>
          <w:szCs w:val="24"/>
          <w:lang w:val="es-ES"/>
        </w:rPr>
        <w:t>(5</w:t>
      </w:r>
      <w:r w:rsidR="007D6EF3" w:rsidRPr="00DA2A14">
        <w:rPr>
          <w:szCs w:val="24"/>
          <w:vertAlign w:val="superscript"/>
          <w:lang w:val="es-ES"/>
        </w:rPr>
        <w:t>th</w:t>
      </w:r>
      <w:r w:rsidR="007D6EF3" w:rsidRPr="00DA2A14">
        <w:rPr>
          <w:szCs w:val="24"/>
          <w:lang w:val="es-ES"/>
        </w:rPr>
        <w:t xml:space="preserve"> ed.). </w:t>
      </w:r>
      <w:r w:rsidRPr="00DA2A14">
        <w:rPr>
          <w:szCs w:val="24"/>
          <w:lang w:val="es-ES"/>
        </w:rPr>
        <w:t xml:space="preserve">TEA. </w:t>
      </w:r>
    </w:p>
    <w:p w14:paraId="16AA3697" w14:textId="2053E8AE" w:rsidR="00F1486F" w:rsidRPr="00B059E0" w:rsidRDefault="00F1486F" w:rsidP="00B059E0">
      <w:pPr>
        <w:spacing w:line="240" w:lineRule="auto"/>
        <w:ind w:left="720" w:hanging="720"/>
        <w:jc w:val="both"/>
        <w:rPr>
          <w:szCs w:val="24"/>
          <w:lang w:val="es-ES"/>
        </w:rPr>
      </w:pPr>
      <w:proofErr w:type="spellStart"/>
      <w:r w:rsidRPr="00B059E0">
        <w:rPr>
          <w:szCs w:val="24"/>
          <w:lang w:val="es-ES"/>
        </w:rPr>
        <w:t>Galaburda</w:t>
      </w:r>
      <w:proofErr w:type="spellEnd"/>
      <w:r w:rsidRPr="00B059E0">
        <w:rPr>
          <w:szCs w:val="24"/>
          <w:lang w:val="es-ES"/>
        </w:rPr>
        <w:t>, A.</w:t>
      </w:r>
      <w:r w:rsidR="007D6EF3" w:rsidRPr="00B059E0">
        <w:rPr>
          <w:szCs w:val="24"/>
          <w:lang w:val="es-ES"/>
        </w:rPr>
        <w:t xml:space="preserve"> </w:t>
      </w:r>
      <w:r w:rsidRPr="00B059E0">
        <w:rPr>
          <w:szCs w:val="24"/>
          <w:lang w:val="es-ES"/>
        </w:rPr>
        <w:t>M.</w:t>
      </w:r>
      <w:r w:rsidR="007D352E" w:rsidRPr="00B059E0">
        <w:rPr>
          <w:szCs w:val="24"/>
          <w:lang w:val="es-ES"/>
        </w:rPr>
        <w:t>,</w:t>
      </w:r>
      <w:r w:rsidRPr="00B059E0">
        <w:rPr>
          <w:szCs w:val="24"/>
          <w:lang w:val="es-ES"/>
        </w:rPr>
        <w:t xml:space="preserve"> &amp; </w:t>
      </w:r>
      <w:proofErr w:type="spellStart"/>
      <w:r w:rsidRPr="00B059E0">
        <w:rPr>
          <w:szCs w:val="24"/>
          <w:lang w:val="es-ES"/>
        </w:rPr>
        <w:t>Cestnick</w:t>
      </w:r>
      <w:proofErr w:type="spellEnd"/>
      <w:r w:rsidRPr="00B059E0">
        <w:rPr>
          <w:szCs w:val="24"/>
          <w:lang w:val="es-ES"/>
        </w:rPr>
        <w:t xml:space="preserve">, L. (2003). </w:t>
      </w:r>
      <w:r w:rsidRPr="00B059E0">
        <w:rPr>
          <w:szCs w:val="24"/>
        </w:rPr>
        <w:t xml:space="preserve">Dislexia del desarrollo. </w:t>
      </w:r>
      <w:r w:rsidRPr="00B059E0">
        <w:rPr>
          <w:i/>
          <w:iCs/>
          <w:szCs w:val="24"/>
          <w:lang w:val="es-ES"/>
        </w:rPr>
        <w:t>Revista de Neurología</w:t>
      </w:r>
      <w:r w:rsidRPr="00B059E0">
        <w:rPr>
          <w:szCs w:val="24"/>
          <w:lang w:val="es-ES"/>
        </w:rPr>
        <w:t>,</w:t>
      </w:r>
      <w:r w:rsidRPr="00B059E0">
        <w:rPr>
          <w:i/>
          <w:iCs/>
          <w:szCs w:val="24"/>
          <w:lang w:val="es-ES"/>
        </w:rPr>
        <w:t xml:space="preserve"> 36</w:t>
      </w:r>
      <w:r w:rsidRPr="00B059E0">
        <w:rPr>
          <w:szCs w:val="24"/>
          <w:lang w:val="es-ES"/>
        </w:rPr>
        <w:t xml:space="preserve">(1), 3-9. </w:t>
      </w:r>
      <w:hyperlink r:id="rId16" w:history="1">
        <w:r w:rsidRPr="00B059E0">
          <w:rPr>
            <w:rStyle w:val="Hipervnculo"/>
            <w:szCs w:val="24"/>
            <w:lang w:val="es-ES"/>
          </w:rPr>
          <w:t>https://doi.org/10.33588/rn.36s1.2003068</w:t>
        </w:r>
      </w:hyperlink>
      <w:r w:rsidRPr="00B059E0">
        <w:rPr>
          <w:szCs w:val="24"/>
          <w:lang w:val="es-ES"/>
        </w:rPr>
        <w:t xml:space="preserve"> </w:t>
      </w:r>
    </w:p>
    <w:p w14:paraId="1AFCF422" w14:textId="0B4B9668" w:rsidR="00F1486F" w:rsidRPr="00B059E0" w:rsidRDefault="00F1486F" w:rsidP="00B059E0">
      <w:pPr>
        <w:spacing w:line="240" w:lineRule="auto"/>
        <w:ind w:left="720" w:hanging="720"/>
        <w:jc w:val="both"/>
        <w:rPr>
          <w:szCs w:val="24"/>
          <w:lang w:val="en-US"/>
        </w:rPr>
      </w:pPr>
      <w:proofErr w:type="spellStart"/>
      <w:r w:rsidRPr="00B059E0">
        <w:rPr>
          <w:szCs w:val="24"/>
          <w:lang w:val="es-ES"/>
        </w:rPr>
        <w:t>Galaburda</w:t>
      </w:r>
      <w:proofErr w:type="spellEnd"/>
      <w:r w:rsidRPr="00B059E0">
        <w:rPr>
          <w:szCs w:val="24"/>
          <w:lang w:val="es-ES"/>
        </w:rPr>
        <w:t>, A.</w:t>
      </w:r>
      <w:r w:rsidR="007D6EF3" w:rsidRPr="00B059E0">
        <w:rPr>
          <w:szCs w:val="24"/>
          <w:lang w:val="es-ES"/>
        </w:rPr>
        <w:t xml:space="preserve"> </w:t>
      </w:r>
      <w:r w:rsidRPr="00B059E0">
        <w:rPr>
          <w:szCs w:val="24"/>
          <w:lang w:val="es-ES"/>
        </w:rPr>
        <w:t>M.</w:t>
      </w:r>
      <w:r w:rsidR="007D352E" w:rsidRPr="00B059E0">
        <w:rPr>
          <w:szCs w:val="24"/>
          <w:lang w:val="es-ES"/>
        </w:rPr>
        <w:t>,</w:t>
      </w:r>
      <w:r w:rsidRPr="00B059E0">
        <w:rPr>
          <w:szCs w:val="24"/>
          <w:lang w:val="es-ES"/>
        </w:rPr>
        <w:t xml:space="preserve"> &amp; Livingstone, M.</w:t>
      </w:r>
      <w:r w:rsidR="007D6EF3" w:rsidRPr="00B059E0">
        <w:rPr>
          <w:szCs w:val="24"/>
          <w:lang w:val="es-ES"/>
        </w:rPr>
        <w:t xml:space="preserve"> </w:t>
      </w:r>
      <w:r w:rsidRPr="00B059E0">
        <w:rPr>
          <w:szCs w:val="24"/>
          <w:lang w:val="es-ES"/>
        </w:rPr>
        <w:t xml:space="preserve">S. (1991). </w:t>
      </w:r>
      <w:r w:rsidRPr="00B059E0">
        <w:rPr>
          <w:szCs w:val="24"/>
          <w:lang w:val="en-US"/>
        </w:rPr>
        <w:t xml:space="preserve">Evidence for a </w:t>
      </w:r>
      <w:r w:rsidR="00881D3D">
        <w:rPr>
          <w:szCs w:val="24"/>
          <w:lang w:val="en-US"/>
        </w:rPr>
        <w:t>m</w:t>
      </w:r>
      <w:r w:rsidRPr="00B059E0">
        <w:rPr>
          <w:szCs w:val="24"/>
          <w:lang w:val="en-US"/>
        </w:rPr>
        <w:t xml:space="preserve">agnocellular </w:t>
      </w:r>
      <w:r w:rsidR="00881D3D">
        <w:rPr>
          <w:szCs w:val="24"/>
          <w:lang w:val="en-US"/>
        </w:rPr>
        <w:t>d</w:t>
      </w:r>
      <w:r w:rsidRPr="00B059E0">
        <w:rPr>
          <w:szCs w:val="24"/>
          <w:lang w:val="en-US"/>
        </w:rPr>
        <w:t xml:space="preserve">efect in </w:t>
      </w:r>
      <w:r w:rsidR="00881D3D">
        <w:rPr>
          <w:szCs w:val="24"/>
          <w:lang w:val="en-US"/>
        </w:rPr>
        <w:t>d</w:t>
      </w:r>
      <w:r w:rsidRPr="00B059E0">
        <w:rPr>
          <w:szCs w:val="24"/>
          <w:lang w:val="en-US"/>
        </w:rPr>
        <w:t xml:space="preserve">evelopmental </w:t>
      </w:r>
      <w:r w:rsidR="00881D3D">
        <w:rPr>
          <w:szCs w:val="24"/>
          <w:lang w:val="en-US"/>
        </w:rPr>
        <w:t>d</w:t>
      </w:r>
      <w:r w:rsidRPr="00B059E0">
        <w:rPr>
          <w:szCs w:val="24"/>
          <w:lang w:val="en-US"/>
        </w:rPr>
        <w:t xml:space="preserve">yslexia. </w:t>
      </w:r>
      <w:r w:rsidRPr="00B059E0">
        <w:rPr>
          <w:i/>
          <w:iCs/>
          <w:szCs w:val="24"/>
          <w:lang w:val="en-US"/>
        </w:rPr>
        <w:t>Proceedings of the National Academy of Sciences</w:t>
      </w:r>
      <w:r w:rsidRPr="00B059E0">
        <w:rPr>
          <w:szCs w:val="24"/>
          <w:lang w:val="en-US"/>
        </w:rPr>
        <w:t xml:space="preserve">, </w:t>
      </w:r>
      <w:r w:rsidRPr="00B059E0">
        <w:rPr>
          <w:i/>
          <w:iCs/>
          <w:szCs w:val="24"/>
          <w:lang w:val="en-US"/>
        </w:rPr>
        <w:t>88</w:t>
      </w:r>
      <w:r w:rsidRPr="00B059E0">
        <w:rPr>
          <w:szCs w:val="24"/>
          <w:lang w:val="en-US"/>
        </w:rPr>
        <w:t xml:space="preserve">(18), 7943-7947. </w:t>
      </w:r>
      <w:hyperlink r:id="rId17" w:history="1">
        <w:r w:rsidRPr="00B059E0">
          <w:rPr>
            <w:rStyle w:val="Hipervnculo"/>
            <w:szCs w:val="24"/>
            <w:lang w:val="en-US"/>
          </w:rPr>
          <w:t>https://doi.org/10.1073/pnas.88.18.7943</w:t>
        </w:r>
      </w:hyperlink>
      <w:r w:rsidRPr="00B059E0">
        <w:rPr>
          <w:szCs w:val="24"/>
          <w:lang w:val="en-US"/>
        </w:rPr>
        <w:t xml:space="preserve"> </w:t>
      </w:r>
    </w:p>
    <w:p w14:paraId="752E7572" w14:textId="5DFE904F" w:rsidR="00F1486F" w:rsidRPr="00B059E0" w:rsidRDefault="00F1486F" w:rsidP="00B059E0">
      <w:pPr>
        <w:spacing w:line="240" w:lineRule="auto"/>
        <w:ind w:left="720" w:hanging="720"/>
        <w:jc w:val="both"/>
        <w:rPr>
          <w:szCs w:val="24"/>
          <w:lang w:val="en-US"/>
        </w:rPr>
      </w:pPr>
      <w:r w:rsidRPr="00B059E0">
        <w:rPr>
          <w:szCs w:val="24"/>
          <w:lang w:val="en-US"/>
        </w:rPr>
        <w:lastRenderedPageBreak/>
        <w:t>Griffiths, P.</w:t>
      </w:r>
      <w:r w:rsidR="007D6EF3" w:rsidRPr="00B059E0">
        <w:rPr>
          <w:szCs w:val="24"/>
          <w:lang w:val="en-US"/>
        </w:rPr>
        <w:t xml:space="preserve"> </w:t>
      </w:r>
      <w:r w:rsidRPr="00B059E0">
        <w:rPr>
          <w:szCs w:val="24"/>
          <w:lang w:val="en-US"/>
        </w:rPr>
        <w:t>G., Taylor, R.</w:t>
      </w:r>
      <w:r w:rsidR="007D6EF3" w:rsidRPr="00B059E0">
        <w:rPr>
          <w:szCs w:val="24"/>
          <w:lang w:val="en-US"/>
        </w:rPr>
        <w:t xml:space="preserve"> </w:t>
      </w:r>
      <w:r w:rsidRPr="00B059E0">
        <w:rPr>
          <w:szCs w:val="24"/>
          <w:lang w:val="en-US"/>
        </w:rPr>
        <w:t>H., Henderson, L.</w:t>
      </w:r>
      <w:r w:rsidR="007D6EF3" w:rsidRPr="00B059E0">
        <w:rPr>
          <w:szCs w:val="24"/>
          <w:lang w:val="en-US"/>
        </w:rPr>
        <w:t xml:space="preserve"> </w:t>
      </w:r>
      <w:r w:rsidRPr="00B059E0">
        <w:rPr>
          <w:szCs w:val="24"/>
          <w:lang w:val="en-US"/>
        </w:rPr>
        <w:t>M.</w:t>
      </w:r>
      <w:r w:rsidR="007D352E" w:rsidRPr="00B059E0">
        <w:rPr>
          <w:szCs w:val="24"/>
          <w:lang w:val="en-US"/>
        </w:rPr>
        <w:t>,</w:t>
      </w:r>
      <w:r w:rsidRPr="00B059E0">
        <w:rPr>
          <w:szCs w:val="24"/>
          <w:lang w:val="en-US"/>
        </w:rPr>
        <w:t xml:space="preserve"> &amp; Barrett, B.</w:t>
      </w:r>
      <w:r w:rsidR="007D6EF3" w:rsidRPr="00B059E0">
        <w:rPr>
          <w:szCs w:val="24"/>
          <w:lang w:val="en-US"/>
        </w:rPr>
        <w:t xml:space="preserve"> </w:t>
      </w:r>
      <w:r w:rsidRPr="00B059E0">
        <w:rPr>
          <w:szCs w:val="24"/>
          <w:lang w:val="en-US"/>
        </w:rPr>
        <w:t xml:space="preserve">T. (2016). The effect of colored overlays and lenses on reading: a systematic review of the literature. </w:t>
      </w:r>
      <w:r w:rsidRPr="00B059E0">
        <w:rPr>
          <w:i/>
          <w:iCs/>
          <w:szCs w:val="24"/>
          <w:lang w:val="en-US"/>
        </w:rPr>
        <w:t>Ophthalmic and Physiological Optics</w:t>
      </w:r>
      <w:r w:rsidRPr="00B059E0">
        <w:rPr>
          <w:szCs w:val="24"/>
          <w:lang w:val="en-US"/>
        </w:rPr>
        <w:t>,</w:t>
      </w:r>
      <w:r w:rsidRPr="00B059E0">
        <w:rPr>
          <w:i/>
          <w:iCs/>
          <w:szCs w:val="24"/>
          <w:lang w:val="en-US"/>
        </w:rPr>
        <w:t xml:space="preserve"> 36</w:t>
      </w:r>
      <w:r w:rsidRPr="00B059E0">
        <w:rPr>
          <w:szCs w:val="24"/>
          <w:lang w:val="en-US"/>
        </w:rPr>
        <w:t xml:space="preserve">(5), 519-544. </w:t>
      </w:r>
      <w:hyperlink r:id="rId18" w:history="1">
        <w:r w:rsidRPr="00B059E0">
          <w:rPr>
            <w:rStyle w:val="Hipervnculo"/>
            <w:szCs w:val="24"/>
            <w:lang w:val="en-US"/>
          </w:rPr>
          <w:t>https://doi.org/10.1111/opo.12316</w:t>
        </w:r>
      </w:hyperlink>
      <w:r w:rsidRPr="00B059E0">
        <w:rPr>
          <w:szCs w:val="24"/>
          <w:lang w:val="en-US"/>
        </w:rPr>
        <w:t xml:space="preserve"> </w:t>
      </w:r>
    </w:p>
    <w:p w14:paraId="125C7FFE" w14:textId="4E122FBB" w:rsidR="00F1486F" w:rsidRPr="00B059E0" w:rsidRDefault="00F1486F" w:rsidP="00B059E0">
      <w:pPr>
        <w:spacing w:line="240" w:lineRule="auto"/>
        <w:ind w:left="720" w:hanging="720"/>
        <w:jc w:val="both"/>
        <w:rPr>
          <w:szCs w:val="24"/>
          <w:lang w:val="pt-PT"/>
        </w:rPr>
      </w:pPr>
      <w:r w:rsidRPr="00B059E0">
        <w:rPr>
          <w:szCs w:val="24"/>
          <w:lang w:val="en-US"/>
        </w:rPr>
        <w:t>Guimarães, M.</w:t>
      </w:r>
      <w:r w:rsidR="007D6EF3" w:rsidRPr="00B059E0">
        <w:rPr>
          <w:szCs w:val="24"/>
          <w:lang w:val="en-US"/>
        </w:rPr>
        <w:t xml:space="preserve"> </w:t>
      </w:r>
      <w:r w:rsidRPr="00B059E0">
        <w:rPr>
          <w:szCs w:val="24"/>
          <w:lang w:val="en-US"/>
        </w:rPr>
        <w:t xml:space="preserve">R. (2011). </w:t>
      </w:r>
      <w:r w:rsidRPr="00B059E0">
        <w:rPr>
          <w:szCs w:val="24"/>
          <w:lang w:val="pt-PT"/>
        </w:rPr>
        <w:t xml:space="preserve">Síndrome de Irlen. </w:t>
      </w:r>
      <w:r w:rsidRPr="00B059E0">
        <w:rPr>
          <w:i/>
          <w:szCs w:val="24"/>
          <w:lang w:val="pt-PT"/>
        </w:rPr>
        <w:t>Revista multidisciplinar de desenvolvimento humano</w:t>
      </w:r>
      <w:r w:rsidRPr="00B059E0">
        <w:rPr>
          <w:szCs w:val="24"/>
          <w:lang w:val="pt-PT"/>
        </w:rPr>
        <w:t xml:space="preserve">, </w:t>
      </w:r>
      <w:r w:rsidRPr="00B059E0">
        <w:rPr>
          <w:i/>
          <w:szCs w:val="24"/>
          <w:lang w:val="pt-PT"/>
        </w:rPr>
        <w:t>1</w:t>
      </w:r>
      <w:r w:rsidRPr="00B059E0">
        <w:rPr>
          <w:szCs w:val="24"/>
          <w:lang w:val="pt-PT"/>
        </w:rPr>
        <w:t>(4), 41-47.</w:t>
      </w:r>
    </w:p>
    <w:p w14:paraId="01A6E435" w14:textId="3A0E1E1D" w:rsidR="00F1486F" w:rsidRPr="00B059E0" w:rsidRDefault="00F1486F" w:rsidP="00B059E0">
      <w:pPr>
        <w:spacing w:line="240" w:lineRule="auto"/>
        <w:ind w:left="720" w:hanging="720"/>
        <w:jc w:val="both"/>
        <w:rPr>
          <w:szCs w:val="24"/>
          <w:lang w:val="pt-PT"/>
        </w:rPr>
      </w:pPr>
      <w:r w:rsidRPr="00B059E0">
        <w:rPr>
          <w:szCs w:val="24"/>
          <w:lang w:val="pt-PT"/>
        </w:rPr>
        <w:t>Guimarães, M.</w:t>
      </w:r>
      <w:r w:rsidR="007D6EF3" w:rsidRPr="00B059E0">
        <w:rPr>
          <w:szCs w:val="24"/>
          <w:lang w:val="pt-PT"/>
        </w:rPr>
        <w:t xml:space="preserve"> </w:t>
      </w:r>
      <w:r w:rsidRPr="00B059E0">
        <w:rPr>
          <w:szCs w:val="24"/>
          <w:lang w:val="pt-PT"/>
        </w:rPr>
        <w:t>R.</w:t>
      </w:r>
      <w:r w:rsidR="007D352E" w:rsidRPr="00B059E0">
        <w:rPr>
          <w:szCs w:val="24"/>
          <w:lang w:val="pt-PT"/>
        </w:rPr>
        <w:t>,</w:t>
      </w:r>
      <w:r w:rsidRPr="00B059E0">
        <w:rPr>
          <w:szCs w:val="24"/>
          <w:lang w:val="pt-PT"/>
        </w:rPr>
        <w:t xml:space="preserve"> &amp; Guimarães, I.</w:t>
      </w:r>
      <w:r w:rsidR="007D6EF3" w:rsidRPr="00B059E0">
        <w:rPr>
          <w:szCs w:val="24"/>
          <w:lang w:val="pt-PT"/>
        </w:rPr>
        <w:t xml:space="preserve"> </w:t>
      </w:r>
      <w:r w:rsidRPr="00B059E0">
        <w:rPr>
          <w:szCs w:val="24"/>
          <w:lang w:val="pt-PT"/>
        </w:rPr>
        <w:t xml:space="preserve">R. (2013). Aprendizagem e </w:t>
      </w:r>
      <w:r w:rsidR="0081351D">
        <w:rPr>
          <w:szCs w:val="24"/>
          <w:lang w:val="pt-PT"/>
        </w:rPr>
        <w:t>l</w:t>
      </w:r>
      <w:r w:rsidRPr="00B059E0">
        <w:rPr>
          <w:szCs w:val="24"/>
          <w:lang w:val="pt-PT"/>
        </w:rPr>
        <w:t xml:space="preserve">eitura-Síndrome de Irlen. </w:t>
      </w:r>
      <w:r w:rsidRPr="00B059E0">
        <w:rPr>
          <w:i/>
          <w:iCs/>
          <w:szCs w:val="24"/>
          <w:lang w:val="pt-PT"/>
        </w:rPr>
        <w:t>Artigos</w:t>
      </w:r>
      <w:r w:rsidRPr="00B059E0">
        <w:rPr>
          <w:szCs w:val="24"/>
          <w:lang w:val="pt-PT"/>
        </w:rPr>
        <w:t xml:space="preserve">, </w:t>
      </w:r>
      <w:r w:rsidRPr="00B059E0">
        <w:rPr>
          <w:i/>
          <w:iCs/>
          <w:szCs w:val="24"/>
          <w:lang w:val="pt-PT"/>
        </w:rPr>
        <w:t>1</w:t>
      </w:r>
      <w:r w:rsidRPr="00B059E0">
        <w:rPr>
          <w:szCs w:val="24"/>
          <w:lang w:val="pt-PT"/>
        </w:rPr>
        <w:t xml:space="preserve">(1), 171-182. </w:t>
      </w:r>
      <w:hyperlink r:id="rId19" w:history="1">
        <w:r w:rsidRPr="00B059E0">
          <w:rPr>
            <w:rStyle w:val="Hipervnculo"/>
            <w:szCs w:val="24"/>
            <w:lang w:val="pt-PT"/>
          </w:rPr>
          <w:t>https://doi.org/10.13140/RG.2.1.5028.9049</w:t>
        </w:r>
      </w:hyperlink>
      <w:r w:rsidRPr="00B059E0">
        <w:rPr>
          <w:szCs w:val="24"/>
          <w:lang w:val="pt-PT"/>
        </w:rPr>
        <w:t xml:space="preserve"> </w:t>
      </w:r>
    </w:p>
    <w:p w14:paraId="7A8D69D1" w14:textId="5F4FC9BD" w:rsidR="00F1486F" w:rsidRPr="00B059E0" w:rsidRDefault="00F1486F" w:rsidP="00B059E0">
      <w:pPr>
        <w:spacing w:line="240" w:lineRule="auto"/>
        <w:ind w:left="708" w:hanging="708"/>
        <w:jc w:val="both"/>
        <w:rPr>
          <w:szCs w:val="24"/>
          <w:lang w:val="en-US"/>
        </w:rPr>
      </w:pPr>
      <w:r w:rsidRPr="00B059E0">
        <w:rPr>
          <w:szCs w:val="24"/>
          <w:lang w:val="pt-PT"/>
        </w:rPr>
        <w:t>Guimarães, M.</w:t>
      </w:r>
      <w:r w:rsidR="007D6EF3" w:rsidRPr="00B059E0">
        <w:rPr>
          <w:szCs w:val="24"/>
          <w:lang w:val="pt-PT"/>
        </w:rPr>
        <w:t xml:space="preserve"> </w:t>
      </w:r>
      <w:r w:rsidRPr="00B059E0">
        <w:rPr>
          <w:szCs w:val="24"/>
          <w:lang w:val="pt-PT"/>
        </w:rPr>
        <w:t>R., Vilhena, D.</w:t>
      </w:r>
      <w:r w:rsidR="007D6EF3" w:rsidRPr="00B059E0">
        <w:rPr>
          <w:szCs w:val="24"/>
          <w:lang w:val="pt-PT"/>
        </w:rPr>
        <w:t xml:space="preserve"> </w:t>
      </w:r>
      <w:r w:rsidRPr="00B059E0">
        <w:rPr>
          <w:szCs w:val="24"/>
          <w:lang w:val="pt-PT"/>
        </w:rPr>
        <w:t>A., Loew, S.</w:t>
      </w:r>
      <w:r w:rsidR="007D6EF3" w:rsidRPr="00B059E0">
        <w:rPr>
          <w:szCs w:val="24"/>
          <w:lang w:val="pt-PT"/>
        </w:rPr>
        <w:t xml:space="preserve"> </w:t>
      </w:r>
      <w:r w:rsidRPr="00B059E0">
        <w:rPr>
          <w:szCs w:val="24"/>
          <w:lang w:val="pt-PT"/>
        </w:rPr>
        <w:t>J.</w:t>
      </w:r>
      <w:r w:rsidR="007D352E" w:rsidRPr="00B059E0">
        <w:rPr>
          <w:szCs w:val="24"/>
          <w:lang w:val="pt-PT"/>
        </w:rPr>
        <w:t>,</w:t>
      </w:r>
      <w:r w:rsidRPr="00B059E0">
        <w:rPr>
          <w:szCs w:val="24"/>
          <w:lang w:val="pt-PT"/>
        </w:rPr>
        <w:t xml:space="preserve"> &amp; Guimarães, R.</w:t>
      </w:r>
      <w:r w:rsidR="007D6EF3" w:rsidRPr="00B059E0">
        <w:rPr>
          <w:szCs w:val="24"/>
          <w:lang w:val="pt-PT"/>
        </w:rPr>
        <w:t xml:space="preserve"> </w:t>
      </w:r>
      <w:r w:rsidRPr="00B059E0">
        <w:rPr>
          <w:szCs w:val="24"/>
          <w:lang w:val="pt-PT"/>
        </w:rPr>
        <w:t xml:space="preserve">Q. (2020). </w:t>
      </w:r>
      <w:r w:rsidRPr="00B059E0">
        <w:rPr>
          <w:szCs w:val="24"/>
          <w:lang w:val="en-US"/>
        </w:rPr>
        <w:t xml:space="preserve">Spectral </w:t>
      </w:r>
      <w:r w:rsidR="0081351D">
        <w:rPr>
          <w:szCs w:val="24"/>
          <w:lang w:val="en-US"/>
        </w:rPr>
        <w:t>o</w:t>
      </w:r>
      <w:r w:rsidRPr="00B059E0">
        <w:rPr>
          <w:szCs w:val="24"/>
          <w:lang w:val="en-US"/>
        </w:rPr>
        <w:t xml:space="preserve">verlays for </w:t>
      </w:r>
      <w:r w:rsidR="0081351D">
        <w:rPr>
          <w:szCs w:val="24"/>
          <w:lang w:val="en-US"/>
        </w:rPr>
        <w:t>r</w:t>
      </w:r>
      <w:r w:rsidRPr="00B059E0">
        <w:rPr>
          <w:szCs w:val="24"/>
          <w:lang w:val="en-US"/>
        </w:rPr>
        <w:t xml:space="preserve">eading </w:t>
      </w:r>
      <w:r w:rsidR="0081351D">
        <w:rPr>
          <w:szCs w:val="24"/>
          <w:lang w:val="en-US"/>
        </w:rPr>
        <w:t>d</w:t>
      </w:r>
      <w:r w:rsidRPr="00B059E0">
        <w:rPr>
          <w:szCs w:val="24"/>
          <w:lang w:val="en-US"/>
        </w:rPr>
        <w:t xml:space="preserve">ifficulties: Oculomotor </w:t>
      </w:r>
      <w:r w:rsidR="0081351D">
        <w:rPr>
          <w:szCs w:val="24"/>
          <w:lang w:val="en-US"/>
        </w:rPr>
        <w:t>f</w:t>
      </w:r>
      <w:r w:rsidRPr="00B059E0">
        <w:rPr>
          <w:szCs w:val="24"/>
          <w:lang w:val="en-US"/>
        </w:rPr>
        <w:t xml:space="preserve">unction and </w:t>
      </w:r>
      <w:r w:rsidR="0081351D">
        <w:rPr>
          <w:szCs w:val="24"/>
          <w:lang w:val="en-US"/>
        </w:rPr>
        <w:t>r</w:t>
      </w:r>
      <w:r w:rsidRPr="00B059E0">
        <w:rPr>
          <w:szCs w:val="24"/>
          <w:lang w:val="en-US"/>
        </w:rPr>
        <w:t xml:space="preserve">eading </w:t>
      </w:r>
      <w:r w:rsidR="0081351D">
        <w:rPr>
          <w:szCs w:val="24"/>
          <w:lang w:val="en-US"/>
        </w:rPr>
        <w:t>e</w:t>
      </w:r>
      <w:r w:rsidRPr="00B059E0">
        <w:rPr>
          <w:szCs w:val="24"/>
          <w:lang w:val="en-US"/>
        </w:rPr>
        <w:t xml:space="preserve">fficiency </w:t>
      </w:r>
      <w:r w:rsidR="0081351D">
        <w:rPr>
          <w:szCs w:val="24"/>
          <w:lang w:val="en-US"/>
        </w:rPr>
        <w:t>a</w:t>
      </w:r>
      <w:r w:rsidRPr="00B059E0">
        <w:rPr>
          <w:szCs w:val="24"/>
          <w:lang w:val="en-US"/>
        </w:rPr>
        <w:t xml:space="preserve">mong </w:t>
      </w:r>
      <w:r w:rsidR="0081351D">
        <w:rPr>
          <w:szCs w:val="24"/>
          <w:lang w:val="en-US"/>
        </w:rPr>
        <w:t>c</w:t>
      </w:r>
      <w:r w:rsidRPr="00B059E0">
        <w:rPr>
          <w:szCs w:val="24"/>
          <w:lang w:val="en-US"/>
        </w:rPr>
        <w:t xml:space="preserve">hildren and </w:t>
      </w:r>
      <w:r w:rsidR="0081351D">
        <w:rPr>
          <w:szCs w:val="24"/>
          <w:lang w:val="en-US"/>
        </w:rPr>
        <w:t>a</w:t>
      </w:r>
      <w:r w:rsidRPr="00B059E0">
        <w:rPr>
          <w:szCs w:val="24"/>
          <w:lang w:val="en-US"/>
        </w:rPr>
        <w:t xml:space="preserve">dolescents with </w:t>
      </w:r>
      <w:r w:rsidR="0081351D">
        <w:rPr>
          <w:szCs w:val="24"/>
          <w:lang w:val="en-US"/>
        </w:rPr>
        <w:t>v</w:t>
      </w:r>
      <w:r w:rsidRPr="00B059E0">
        <w:rPr>
          <w:szCs w:val="24"/>
          <w:lang w:val="en-US"/>
        </w:rPr>
        <w:t xml:space="preserve">isual </w:t>
      </w:r>
      <w:r w:rsidR="0081351D">
        <w:rPr>
          <w:szCs w:val="24"/>
          <w:lang w:val="en-US"/>
        </w:rPr>
        <w:t>s</w:t>
      </w:r>
      <w:r w:rsidRPr="00B059E0">
        <w:rPr>
          <w:szCs w:val="24"/>
          <w:lang w:val="en-US"/>
        </w:rPr>
        <w:t xml:space="preserve">tress. </w:t>
      </w:r>
      <w:r w:rsidRPr="00B059E0">
        <w:rPr>
          <w:i/>
          <w:iCs/>
          <w:szCs w:val="24"/>
          <w:lang w:val="en-US"/>
        </w:rPr>
        <w:t>Perceptual and Motor Skills</w:t>
      </w:r>
      <w:r w:rsidRPr="00B059E0">
        <w:rPr>
          <w:szCs w:val="24"/>
          <w:lang w:val="en-US"/>
        </w:rPr>
        <w:t>,</w:t>
      </w:r>
      <w:r w:rsidRPr="00B059E0">
        <w:rPr>
          <w:i/>
          <w:iCs/>
          <w:szCs w:val="24"/>
          <w:lang w:val="en-US"/>
        </w:rPr>
        <w:t xml:space="preserve"> 127</w:t>
      </w:r>
      <w:r w:rsidRPr="00B059E0">
        <w:rPr>
          <w:szCs w:val="24"/>
          <w:lang w:val="en-US"/>
        </w:rPr>
        <w:t>(2), 490</w:t>
      </w:r>
      <w:r w:rsidR="007D6EF3" w:rsidRPr="00B059E0">
        <w:rPr>
          <w:szCs w:val="24"/>
          <w:lang w:val="en-US"/>
        </w:rPr>
        <w:t>-</w:t>
      </w:r>
      <w:r w:rsidRPr="00B059E0">
        <w:rPr>
          <w:szCs w:val="24"/>
          <w:lang w:val="en-US"/>
        </w:rPr>
        <w:t xml:space="preserve">509. </w:t>
      </w:r>
      <w:hyperlink r:id="rId20" w:history="1">
        <w:r w:rsidRPr="00B059E0">
          <w:rPr>
            <w:rStyle w:val="Hipervnculo"/>
            <w:szCs w:val="24"/>
            <w:lang w:val="en-US"/>
          </w:rPr>
          <w:t>https://doi.org/10.1177/0031512519889772</w:t>
        </w:r>
      </w:hyperlink>
      <w:r w:rsidRPr="00B059E0">
        <w:rPr>
          <w:szCs w:val="24"/>
          <w:lang w:val="en-US"/>
        </w:rPr>
        <w:t xml:space="preserve"> </w:t>
      </w:r>
    </w:p>
    <w:p w14:paraId="1E216958" w14:textId="3CCE8BFE" w:rsidR="00F1486F" w:rsidRPr="00B059E0" w:rsidRDefault="00F1486F" w:rsidP="00B059E0">
      <w:pPr>
        <w:spacing w:line="240" w:lineRule="auto"/>
        <w:ind w:left="720" w:hanging="720"/>
        <w:jc w:val="both"/>
        <w:rPr>
          <w:szCs w:val="24"/>
          <w:lang w:val="es-EC"/>
        </w:rPr>
      </w:pPr>
      <w:r w:rsidRPr="00CA0098">
        <w:rPr>
          <w:szCs w:val="24"/>
          <w:lang w:val="en-US"/>
        </w:rPr>
        <w:t>Guimarães, R.</w:t>
      </w:r>
      <w:r w:rsidR="007D6EF3" w:rsidRPr="00CA0098">
        <w:rPr>
          <w:szCs w:val="24"/>
          <w:lang w:val="en-US"/>
        </w:rPr>
        <w:t xml:space="preserve"> </w:t>
      </w:r>
      <w:r w:rsidRPr="00CA0098">
        <w:rPr>
          <w:szCs w:val="24"/>
          <w:lang w:val="en-US"/>
        </w:rPr>
        <w:t>Q., Vilhena, D.</w:t>
      </w:r>
      <w:r w:rsidR="007D6EF3" w:rsidRPr="00CA0098">
        <w:rPr>
          <w:szCs w:val="24"/>
          <w:lang w:val="en-US"/>
        </w:rPr>
        <w:t xml:space="preserve"> </w:t>
      </w:r>
      <w:r w:rsidRPr="00CA0098">
        <w:rPr>
          <w:szCs w:val="24"/>
          <w:lang w:val="en-US"/>
        </w:rPr>
        <w:t>A., Nogueira, M.</w:t>
      </w:r>
      <w:r w:rsidR="007D6EF3" w:rsidRPr="00CA0098">
        <w:rPr>
          <w:szCs w:val="24"/>
          <w:lang w:val="en-US"/>
        </w:rPr>
        <w:t xml:space="preserve"> </w:t>
      </w:r>
      <w:r w:rsidRPr="00CA0098">
        <w:rPr>
          <w:szCs w:val="24"/>
          <w:lang w:val="en-US"/>
        </w:rPr>
        <w:t>R.</w:t>
      </w:r>
      <w:r w:rsidR="007D6EF3" w:rsidRPr="00CA0098">
        <w:rPr>
          <w:szCs w:val="24"/>
          <w:lang w:val="en-US"/>
        </w:rPr>
        <w:t xml:space="preserve"> </w:t>
      </w:r>
      <w:r w:rsidRPr="00CA0098">
        <w:rPr>
          <w:szCs w:val="24"/>
          <w:lang w:val="en-US"/>
        </w:rPr>
        <w:t>V., Guimarães, J.</w:t>
      </w:r>
      <w:r w:rsidR="007D6EF3" w:rsidRPr="00CA0098">
        <w:rPr>
          <w:szCs w:val="24"/>
          <w:lang w:val="en-US"/>
        </w:rPr>
        <w:t xml:space="preserve"> </w:t>
      </w:r>
      <w:r w:rsidRPr="00CA0098">
        <w:rPr>
          <w:szCs w:val="24"/>
          <w:lang w:val="en-US"/>
        </w:rPr>
        <w:t>R.</w:t>
      </w:r>
      <w:r w:rsidR="007D352E" w:rsidRPr="00CA0098">
        <w:rPr>
          <w:szCs w:val="24"/>
          <w:lang w:val="en-US"/>
        </w:rPr>
        <w:t>,</w:t>
      </w:r>
      <w:r w:rsidRPr="00CA0098">
        <w:rPr>
          <w:szCs w:val="24"/>
          <w:lang w:val="en-US"/>
        </w:rPr>
        <w:t xml:space="preserve"> &amp; Guimarães, M.</w:t>
      </w:r>
      <w:r w:rsidR="007D6EF3" w:rsidRPr="00CA0098">
        <w:rPr>
          <w:szCs w:val="24"/>
          <w:lang w:val="en-US"/>
        </w:rPr>
        <w:t xml:space="preserve"> </w:t>
      </w:r>
      <w:r w:rsidRPr="00CA0098">
        <w:rPr>
          <w:szCs w:val="24"/>
          <w:lang w:val="en-US"/>
        </w:rPr>
        <w:t xml:space="preserve">R. (2023). </w:t>
      </w:r>
      <w:r w:rsidRPr="00B059E0">
        <w:rPr>
          <w:szCs w:val="24"/>
          <w:lang w:val="pt-PT"/>
        </w:rPr>
        <w:t xml:space="preserve">Programa Bom Começo para saúde da criança: identificação e intervenção nas dificuldades de aprendizagem relacionadas à visão. </w:t>
      </w:r>
      <w:r w:rsidRPr="00B059E0">
        <w:rPr>
          <w:i/>
          <w:iCs/>
          <w:szCs w:val="24"/>
          <w:lang w:val="es-EC"/>
        </w:rPr>
        <w:t>Tempus Psicológico</w:t>
      </w:r>
      <w:r w:rsidRPr="00B059E0">
        <w:rPr>
          <w:szCs w:val="24"/>
          <w:lang w:val="es-EC"/>
        </w:rPr>
        <w:t>,</w:t>
      </w:r>
      <w:r w:rsidRPr="00B059E0">
        <w:rPr>
          <w:i/>
          <w:iCs/>
          <w:szCs w:val="24"/>
          <w:lang w:val="es-EC"/>
        </w:rPr>
        <w:t xml:space="preserve"> </w:t>
      </w:r>
      <w:r w:rsidRPr="001B67DC">
        <w:rPr>
          <w:szCs w:val="24"/>
          <w:lang w:val="es-EC"/>
        </w:rPr>
        <w:t>6</w:t>
      </w:r>
      <w:r w:rsidRPr="00B059E0">
        <w:rPr>
          <w:szCs w:val="24"/>
          <w:lang w:val="es-EC"/>
        </w:rPr>
        <w:t xml:space="preserve">, 138-161. </w:t>
      </w:r>
      <w:hyperlink r:id="rId21">
        <w:r w:rsidRPr="00B059E0">
          <w:rPr>
            <w:rStyle w:val="Hipervnculo"/>
            <w:szCs w:val="24"/>
            <w:lang w:val="es-EC"/>
          </w:rPr>
          <w:t>https://doi.org/10.30554/tempuspsi.6.1.4733.2023</w:t>
        </w:r>
      </w:hyperlink>
    </w:p>
    <w:p w14:paraId="02D32213" w14:textId="5ADD65E4" w:rsidR="00F1486F" w:rsidRPr="00B059E0" w:rsidRDefault="00F1486F" w:rsidP="00B059E0">
      <w:pPr>
        <w:spacing w:line="240" w:lineRule="auto"/>
        <w:ind w:left="720" w:hanging="720"/>
        <w:jc w:val="both"/>
        <w:rPr>
          <w:szCs w:val="24"/>
          <w:lang w:val="en-US"/>
        </w:rPr>
      </w:pPr>
      <w:r w:rsidRPr="00B059E0">
        <w:rPr>
          <w:noProof/>
          <w:szCs w:val="24"/>
          <w:lang w:val="es-ES"/>
        </w:rPr>
        <w:t>Hollis, J.</w:t>
      </w:r>
      <w:r w:rsidR="007D352E" w:rsidRPr="00B059E0">
        <w:rPr>
          <w:noProof/>
          <w:szCs w:val="24"/>
          <w:lang w:val="es-ES"/>
        </w:rPr>
        <w:t>,</w:t>
      </w:r>
      <w:r w:rsidRPr="00B059E0">
        <w:rPr>
          <w:noProof/>
          <w:szCs w:val="24"/>
          <w:lang w:val="es-ES"/>
        </w:rPr>
        <w:t xml:space="preserve"> &amp; Allen, P.</w:t>
      </w:r>
      <w:r w:rsidR="007D6EF3" w:rsidRPr="00B059E0">
        <w:rPr>
          <w:noProof/>
          <w:szCs w:val="24"/>
          <w:lang w:val="es-ES"/>
        </w:rPr>
        <w:t xml:space="preserve"> </w:t>
      </w:r>
      <w:r w:rsidRPr="00B059E0">
        <w:rPr>
          <w:noProof/>
          <w:szCs w:val="24"/>
          <w:lang w:val="es-ES"/>
        </w:rPr>
        <w:t xml:space="preserve">M. (2006). </w:t>
      </w:r>
      <w:r w:rsidRPr="00B059E0">
        <w:rPr>
          <w:szCs w:val="24"/>
          <w:lang w:val="en-US"/>
        </w:rPr>
        <w:t xml:space="preserve">Screening for Meares-Irlen sensitivity in adults: Can assessment methods predict changes in reading speed? </w:t>
      </w:r>
      <w:r w:rsidRPr="00B059E0">
        <w:rPr>
          <w:i/>
          <w:iCs/>
          <w:szCs w:val="24"/>
          <w:lang w:val="en-US"/>
        </w:rPr>
        <w:t>Ophthalmic and Physiological Optics</w:t>
      </w:r>
      <w:r w:rsidRPr="00B059E0">
        <w:rPr>
          <w:szCs w:val="24"/>
          <w:lang w:val="en-US"/>
        </w:rPr>
        <w:t xml:space="preserve">, </w:t>
      </w:r>
      <w:r w:rsidRPr="00B059E0">
        <w:rPr>
          <w:i/>
          <w:iCs/>
          <w:szCs w:val="24"/>
          <w:lang w:val="en-US"/>
        </w:rPr>
        <w:t>26</w:t>
      </w:r>
      <w:r w:rsidRPr="00B059E0">
        <w:rPr>
          <w:szCs w:val="24"/>
          <w:lang w:val="en-US"/>
        </w:rPr>
        <w:t xml:space="preserve">(6), 566-571. </w:t>
      </w:r>
      <w:hyperlink r:id="rId22">
        <w:r w:rsidRPr="00B059E0">
          <w:rPr>
            <w:rStyle w:val="Hipervnculo"/>
            <w:szCs w:val="24"/>
            <w:lang w:val="en-US"/>
          </w:rPr>
          <w:t>https://doi.org/10.1111/j.1475-1313.2006.00401.x</w:t>
        </w:r>
      </w:hyperlink>
      <w:r w:rsidRPr="00B059E0">
        <w:rPr>
          <w:szCs w:val="24"/>
          <w:lang w:val="en-US"/>
        </w:rPr>
        <w:t xml:space="preserve"> </w:t>
      </w:r>
    </w:p>
    <w:p w14:paraId="78CEE2DA" w14:textId="7A9AB4C4" w:rsidR="00F1486F" w:rsidRPr="00B059E0" w:rsidRDefault="00F1486F" w:rsidP="00B059E0">
      <w:pPr>
        <w:spacing w:line="240" w:lineRule="auto"/>
        <w:ind w:left="720" w:hanging="720"/>
        <w:jc w:val="both"/>
        <w:rPr>
          <w:rFonts w:eastAsia="Times New Roman"/>
          <w:szCs w:val="24"/>
        </w:rPr>
      </w:pPr>
      <w:r w:rsidRPr="00B059E0">
        <w:rPr>
          <w:color w:val="000000" w:themeColor="text1"/>
          <w:szCs w:val="24"/>
          <w:lang w:val="en-US"/>
        </w:rPr>
        <w:t>Hu, J., Dong, X.</w:t>
      </w:r>
      <w:r w:rsidR="007D352E" w:rsidRPr="00B059E0">
        <w:rPr>
          <w:color w:val="000000" w:themeColor="text1"/>
          <w:szCs w:val="24"/>
          <w:lang w:val="en-US"/>
        </w:rPr>
        <w:t>,</w:t>
      </w:r>
      <w:r w:rsidRPr="00B059E0">
        <w:rPr>
          <w:color w:val="000000" w:themeColor="text1"/>
          <w:szCs w:val="24"/>
          <w:lang w:val="en-US"/>
        </w:rPr>
        <w:t xml:space="preserve"> &amp; Peng, Y. (2022). Discovery of the key contextual factors relevant to the reading performance of elementary school students from 61 countries/regions: Insight from a machine learning-based approach. </w:t>
      </w:r>
      <w:r w:rsidRPr="00B059E0">
        <w:rPr>
          <w:i/>
          <w:iCs/>
          <w:color w:val="000000" w:themeColor="text1"/>
          <w:szCs w:val="24"/>
          <w:lang w:val="es-EC"/>
        </w:rPr>
        <w:t>Reading and Writing</w:t>
      </w:r>
      <w:r w:rsidRPr="00B059E0">
        <w:rPr>
          <w:color w:val="000000" w:themeColor="text1"/>
          <w:szCs w:val="24"/>
          <w:lang w:val="es-EC"/>
        </w:rPr>
        <w:t>,</w:t>
      </w:r>
      <w:r w:rsidRPr="00B059E0">
        <w:rPr>
          <w:i/>
          <w:iCs/>
          <w:color w:val="000000" w:themeColor="text1"/>
          <w:szCs w:val="24"/>
          <w:lang w:val="es-EC"/>
        </w:rPr>
        <w:t xml:space="preserve"> 35</w:t>
      </w:r>
      <w:r w:rsidRPr="00B059E0">
        <w:rPr>
          <w:color w:val="000000" w:themeColor="text1"/>
          <w:szCs w:val="24"/>
          <w:lang w:val="es-EC"/>
        </w:rPr>
        <w:t xml:space="preserve">(1), 93-127. </w:t>
      </w:r>
      <w:hyperlink r:id="rId23" w:history="1">
        <w:r w:rsidRPr="00B059E0">
          <w:rPr>
            <w:rStyle w:val="Hipervnculo"/>
            <w:rFonts w:eastAsia="Times New Roman"/>
            <w:szCs w:val="24"/>
          </w:rPr>
          <w:t>https://doi.org/10.1007/s11145-021-10176-z</w:t>
        </w:r>
      </w:hyperlink>
    </w:p>
    <w:p w14:paraId="33E1CEFE" w14:textId="5FB48703" w:rsidR="00F1486F" w:rsidRPr="00B059E0" w:rsidRDefault="00F1486F" w:rsidP="00B059E0">
      <w:pPr>
        <w:spacing w:line="240" w:lineRule="auto"/>
        <w:ind w:left="720" w:hanging="720"/>
        <w:jc w:val="both"/>
        <w:rPr>
          <w:noProof/>
          <w:szCs w:val="24"/>
        </w:rPr>
      </w:pPr>
      <w:r w:rsidRPr="00B059E0">
        <w:rPr>
          <w:noProof/>
          <w:szCs w:val="24"/>
          <w:lang w:val="es-EC"/>
        </w:rPr>
        <w:t xml:space="preserve">INEC (2011). </w:t>
      </w:r>
      <w:r w:rsidRPr="00B059E0">
        <w:rPr>
          <w:i/>
          <w:iCs/>
          <w:noProof/>
          <w:szCs w:val="24"/>
        </w:rPr>
        <w:t>Encuesta de estratificación del nivel socioeconómico</w:t>
      </w:r>
      <w:r w:rsidRPr="00B059E0">
        <w:rPr>
          <w:noProof/>
          <w:szCs w:val="24"/>
        </w:rPr>
        <w:t xml:space="preserve">. </w:t>
      </w:r>
      <w:hyperlink r:id="rId24" w:history="1">
        <w:r w:rsidRPr="00B059E0">
          <w:rPr>
            <w:rStyle w:val="Hipervnculo"/>
            <w:szCs w:val="24"/>
          </w:rPr>
          <w:t>https://www.ecuadorencifras.gob.ec/encuesta-de-estratificacion-del-nivel-socioeconomico/</w:t>
        </w:r>
      </w:hyperlink>
      <w:r w:rsidRPr="00B059E0">
        <w:rPr>
          <w:noProof/>
          <w:szCs w:val="24"/>
        </w:rPr>
        <w:t xml:space="preserve"> </w:t>
      </w:r>
    </w:p>
    <w:p w14:paraId="78CEB22C" w14:textId="77777777" w:rsidR="00F1486F" w:rsidRPr="00B059E0" w:rsidRDefault="00F1486F" w:rsidP="00B059E0">
      <w:pPr>
        <w:spacing w:line="240" w:lineRule="auto"/>
        <w:ind w:left="720" w:hanging="720"/>
        <w:jc w:val="both"/>
        <w:rPr>
          <w:szCs w:val="24"/>
          <w:lang w:val="en-US"/>
        </w:rPr>
      </w:pPr>
      <w:r w:rsidRPr="00B059E0">
        <w:rPr>
          <w:szCs w:val="24"/>
          <w:lang w:val="en-US"/>
        </w:rPr>
        <w:t xml:space="preserve">Irlen, H. (1983). Successful treatment of learning difficulties. </w:t>
      </w:r>
      <w:r w:rsidRPr="00B059E0">
        <w:rPr>
          <w:i/>
          <w:iCs/>
          <w:szCs w:val="24"/>
          <w:lang w:val="en-US"/>
        </w:rPr>
        <w:t>91</w:t>
      </w:r>
      <w:r w:rsidRPr="00B059E0">
        <w:rPr>
          <w:i/>
          <w:iCs/>
          <w:szCs w:val="24"/>
          <w:vertAlign w:val="superscript"/>
          <w:lang w:val="en-US"/>
        </w:rPr>
        <w:t>st</w:t>
      </w:r>
      <w:r w:rsidRPr="00B059E0">
        <w:rPr>
          <w:i/>
          <w:iCs/>
          <w:szCs w:val="24"/>
          <w:lang w:val="en-US"/>
        </w:rPr>
        <w:t xml:space="preserve"> Annual Convention of the American Psychological Association</w:t>
      </w:r>
      <w:r w:rsidRPr="00B059E0">
        <w:rPr>
          <w:szCs w:val="24"/>
          <w:lang w:val="en-US"/>
        </w:rPr>
        <w:t>, 26-30.</w:t>
      </w:r>
    </w:p>
    <w:p w14:paraId="2C964243" w14:textId="5083AE46" w:rsidR="00F1486F" w:rsidRPr="00B059E0" w:rsidRDefault="00F1486F" w:rsidP="00B059E0">
      <w:pPr>
        <w:spacing w:line="240" w:lineRule="auto"/>
        <w:ind w:left="720" w:hanging="720"/>
        <w:jc w:val="both"/>
        <w:rPr>
          <w:szCs w:val="24"/>
          <w:lang w:val="en-US"/>
        </w:rPr>
      </w:pPr>
      <w:r w:rsidRPr="00B059E0">
        <w:rPr>
          <w:szCs w:val="24"/>
          <w:lang w:val="en-US"/>
        </w:rPr>
        <w:t xml:space="preserve">Irlen, H. (2005). </w:t>
      </w:r>
      <w:r w:rsidRPr="00B059E0">
        <w:rPr>
          <w:i/>
          <w:iCs/>
          <w:noProof/>
          <w:szCs w:val="24"/>
          <w:lang w:val="en-US"/>
        </w:rPr>
        <w:t xml:space="preserve">Reading by the </w:t>
      </w:r>
      <w:r w:rsidR="00DA121A">
        <w:rPr>
          <w:i/>
          <w:iCs/>
          <w:noProof/>
          <w:szCs w:val="24"/>
          <w:lang w:val="en-US"/>
        </w:rPr>
        <w:t>c</w:t>
      </w:r>
      <w:r w:rsidRPr="00B059E0">
        <w:rPr>
          <w:i/>
          <w:iCs/>
          <w:noProof/>
          <w:szCs w:val="24"/>
          <w:lang w:val="en-US"/>
        </w:rPr>
        <w:t xml:space="preserve">olors: Overcoming </w:t>
      </w:r>
      <w:r w:rsidR="00DA121A">
        <w:rPr>
          <w:i/>
          <w:iCs/>
          <w:noProof/>
          <w:szCs w:val="24"/>
          <w:lang w:val="en-US"/>
        </w:rPr>
        <w:t>d</w:t>
      </w:r>
      <w:r w:rsidRPr="00B059E0">
        <w:rPr>
          <w:i/>
          <w:iCs/>
          <w:noProof/>
          <w:szCs w:val="24"/>
          <w:lang w:val="en-US"/>
        </w:rPr>
        <w:t xml:space="preserve">yslexia and </w:t>
      </w:r>
      <w:r w:rsidR="00DA121A">
        <w:rPr>
          <w:i/>
          <w:iCs/>
          <w:noProof/>
          <w:szCs w:val="24"/>
          <w:lang w:val="en-US"/>
        </w:rPr>
        <w:t>o</w:t>
      </w:r>
      <w:r w:rsidRPr="00B059E0">
        <w:rPr>
          <w:i/>
          <w:iCs/>
          <w:noProof/>
          <w:szCs w:val="24"/>
          <w:lang w:val="en-US"/>
        </w:rPr>
        <w:t xml:space="preserve">ther </w:t>
      </w:r>
      <w:r w:rsidR="00DA121A">
        <w:rPr>
          <w:i/>
          <w:iCs/>
          <w:noProof/>
          <w:szCs w:val="24"/>
          <w:lang w:val="en-US"/>
        </w:rPr>
        <w:t>r</w:t>
      </w:r>
      <w:r w:rsidRPr="00B059E0">
        <w:rPr>
          <w:i/>
          <w:iCs/>
          <w:noProof/>
          <w:szCs w:val="24"/>
          <w:lang w:val="en-US"/>
        </w:rPr>
        <w:t xml:space="preserve">eading </w:t>
      </w:r>
      <w:r w:rsidR="00DA121A">
        <w:rPr>
          <w:i/>
          <w:iCs/>
          <w:noProof/>
          <w:szCs w:val="24"/>
          <w:lang w:val="en-US"/>
        </w:rPr>
        <w:t>d</w:t>
      </w:r>
      <w:r w:rsidRPr="00B059E0">
        <w:rPr>
          <w:i/>
          <w:iCs/>
          <w:noProof/>
          <w:szCs w:val="24"/>
          <w:lang w:val="en-US"/>
        </w:rPr>
        <w:t xml:space="preserve">isabilities </w:t>
      </w:r>
      <w:r w:rsidR="00DA121A">
        <w:rPr>
          <w:i/>
          <w:iCs/>
          <w:noProof/>
          <w:szCs w:val="24"/>
          <w:lang w:val="en-US"/>
        </w:rPr>
        <w:t>t</w:t>
      </w:r>
      <w:r w:rsidRPr="00B059E0">
        <w:rPr>
          <w:i/>
          <w:iCs/>
          <w:noProof/>
          <w:szCs w:val="24"/>
          <w:lang w:val="en-US"/>
        </w:rPr>
        <w:t>hrough the Irlen Method</w:t>
      </w:r>
      <w:r w:rsidRPr="00B059E0">
        <w:rPr>
          <w:szCs w:val="24"/>
          <w:lang w:val="en-US"/>
        </w:rPr>
        <w:t>. Penguin Group.</w:t>
      </w:r>
    </w:p>
    <w:p w14:paraId="1B78DCFC" w14:textId="765EC27B" w:rsidR="00F1486F" w:rsidRPr="00B059E0" w:rsidRDefault="00F1486F" w:rsidP="00B059E0">
      <w:pPr>
        <w:spacing w:line="240" w:lineRule="auto"/>
        <w:ind w:left="720" w:hanging="720"/>
        <w:jc w:val="both"/>
        <w:rPr>
          <w:szCs w:val="24"/>
          <w:lang w:val="en-US"/>
        </w:rPr>
      </w:pPr>
      <w:r w:rsidRPr="00B059E0">
        <w:rPr>
          <w:szCs w:val="24"/>
          <w:lang w:val="en-US"/>
        </w:rPr>
        <w:t xml:space="preserve">Irlen, H. (2010). </w:t>
      </w:r>
      <w:r w:rsidRPr="00B059E0">
        <w:rPr>
          <w:i/>
          <w:iCs/>
          <w:szCs w:val="24"/>
          <w:lang w:val="en-US"/>
        </w:rPr>
        <w:t>Irlen Revolution</w:t>
      </w:r>
      <w:r w:rsidRPr="00B059E0">
        <w:rPr>
          <w:szCs w:val="24"/>
          <w:lang w:val="en-US"/>
        </w:rPr>
        <w:t xml:space="preserve">. </w:t>
      </w:r>
      <w:r w:rsidR="007D6EF3" w:rsidRPr="00B059E0">
        <w:rPr>
          <w:szCs w:val="24"/>
          <w:lang w:val="en-US"/>
        </w:rPr>
        <w:t>(2</w:t>
      </w:r>
      <w:r w:rsidR="007D6EF3" w:rsidRPr="00B059E0">
        <w:rPr>
          <w:szCs w:val="24"/>
          <w:vertAlign w:val="superscript"/>
          <w:lang w:val="en-US"/>
        </w:rPr>
        <w:t>nd</w:t>
      </w:r>
      <w:r w:rsidR="007D6EF3" w:rsidRPr="00B059E0">
        <w:rPr>
          <w:szCs w:val="24"/>
          <w:lang w:val="en-US"/>
        </w:rPr>
        <w:t xml:space="preserve"> ed.). </w:t>
      </w:r>
      <w:proofErr w:type="spellStart"/>
      <w:r w:rsidRPr="00B059E0">
        <w:rPr>
          <w:szCs w:val="24"/>
          <w:lang w:val="en-US"/>
        </w:rPr>
        <w:t>D’Altorio</w:t>
      </w:r>
      <w:proofErr w:type="spellEnd"/>
      <w:r w:rsidRPr="00B059E0">
        <w:rPr>
          <w:szCs w:val="24"/>
          <w:lang w:val="en-US"/>
        </w:rPr>
        <w:t>, Michelle.</w:t>
      </w:r>
    </w:p>
    <w:p w14:paraId="06C25E75" w14:textId="2335A776" w:rsidR="00F1486F" w:rsidRPr="00B059E0" w:rsidRDefault="00F1486F" w:rsidP="00B059E0">
      <w:pPr>
        <w:spacing w:line="240" w:lineRule="auto"/>
        <w:ind w:left="720" w:hanging="720"/>
        <w:jc w:val="both"/>
        <w:rPr>
          <w:szCs w:val="24"/>
          <w:lang w:val="en-US"/>
        </w:rPr>
      </w:pPr>
      <w:r w:rsidRPr="00B059E0">
        <w:rPr>
          <w:szCs w:val="24"/>
          <w:lang w:val="en-US"/>
        </w:rPr>
        <w:t>Jeanes, R., Busby, A., Martin, J., Lewis, E., Stevenson, N., Pointon, D.</w:t>
      </w:r>
      <w:r w:rsidR="007D352E" w:rsidRPr="00B059E0">
        <w:rPr>
          <w:szCs w:val="24"/>
          <w:lang w:val="en-US"/>
        </w:rPr>
        <w:t>,</w:t>
      </w:r>
      <w:r w:rsidR="007D6EF3" w:rsidRPr="00B059E0">
        <w:rPr>
          <w:szCs w:val="24"/>
          <w:lang w:val="en-US"/>
        </w:rPr>
        <w:t xml:space="preserve"> </w:t>
      </w:r>
      <w:r w:rsidRPr="00B059E0">
        <w:rPr>
          <w:szCs w:val="24"/>
          <w:lang w:val="en-US"/>
        </w:rPr>
        <w:t xml:space="preserve">&amp; Wilkins, A. (1997). Prolonged use of coloured overlays for classroom reading. </w:t>
      </w:r>
      <w:r w:rsidRPr="00B059E0">
        <w:rPr>
          <w:i/>
          <w:iCs/>
          <w:szCs w:val="24"/>
          <w:lang w:val="en-US"/>
        </w:rPr>
        <w:t>British Journal of Psychology</w:t>
      </w:r>
      <w:r w:rsidRPr="00B059E0">
        <w:rPr>
          <w:szCs w:val="24"/>
          <w:lang w:val="en-US"/>
        </w:rPr>
        <w:t>,</w:t>
      </w:r>
      <w:r w:rsidRPr="00B059E0">
        <w:rPr>
          <w:i/>
          <w:iCs/>
          <w:szCs w:val="24"/>
          <w:lang w:val="en-US"/>
        </w:rPr>
        <w:t xml:space="preserve"> 88</w:t>
      </w:r>
      <w:r w:rsidRPr="00B059E0">
        <w:rPr>
          <w:szCs w:val="24"/>
          <w:lang w:val="en-US"/>
        </w:rPr>
        <w:t>(4), 541-548.</w:t>
      </w:r>
      <w:r w:rsidR="00BC255B">
        <w:rPr>
          <w:szCs w:val="24"/>
          <w:lang w:val="en-US"/>
        </w:rPr>
        <w:t xml:space="preserve"> </w:t>
      </w:r>
      <w:hyperlink r:id="rId25" w:history="1">
        <w:r w:rsidR="00BC255B" w:rsidRPr="00D413F3">
          <w:rPr>
            <w:rStyle w:val="Hipervnculo"/>
            <w:szCs w:val="24"/>
            <w:lang w:val="en-US"/>
          </w:rPr>
          <w:t>https://doi.org/10.1111/j.2044-8295.1997.tb02656.x</w:t>
        </w:r>
      </w:hyperlink>
      <w:r w:rsidR="00BC255B">
        <w:rPr>
          <w:szCs w:val="24"/>
          <w:lang w:val="en-US"/>
        </w:rPr>
        <w:t xml:space="preserve"> </w:t>
      </w:r>
    </w:p>
    <w:p w14:paraId="69AE56BD" w14:textId="2C9FC75B" w:rsidR="00F1486F" w:rsidRPr="00B059E0" w:rsidRDefault="00F1486F" w:rsidP="00B059E0">
      <w:pPr>
        <w:spacing w:line="240" w:lineRule="auto"/>
        <w:ind w:left="720" w:hanging="720"/>
        <w:jc w:val="both"/>
        <w:rPr>
          <w:szCs w:val="24"/>
          <w:lang w:val="en-US"/>
        </w:rPr>
      </w:pPr>
      <w:r w:rsidRPr="00B059E0">
        <w:rPr>
          <w:szCs w:val="24"/>
          <w:lang w:val="en-US"/>
        </w:rPr>
        <w:t>Johnson, P. J., Saba, G., Dorain, E.</w:t>
      </w:r>
      <w:r w:rsidR="007D352E" w:rsidRPr="00B059E0">
        <w:rPr>
          <w:szCs w:val="24"/>
          <w:lang w:val="en-US"/>
        </w:rPr>
        <w:t>,</w:t>
      </w:r>
      <w:r w:rsidRPr="00B059E0">
        <w:rPr>
          <w:szCs w:val="24"/>
          <w:lang w:val="en-US"/>
        </w:rPr>
        <w:t xml:space="preserve"> &amp; Belmont, S. (2000). A study to test the effectiveness of reading with Irlen coloured overlays for students with Irlen/Scotopic sensitivity syndrome. In</w:t>
      </w:r>
      <w:r w:rsidR="00DA121A">
        <w:rPr>
          <w:szCs w:val="24"/>
          <w:lang w:val="en-US"/>
        </w:rPr>
        <w:t xml:space="preserve"> </w:t>
      </w:r>
      <w:r w:rsidRPr="00B059E0">
        <w:rPr>
          <w:i/>
          <w:iCs/>
          <w:szCs w:val="24"/>
          <w:lang w:val="en-US"/>
        </w:rPr>
        <w:t>6th Irlen International Conference, Australia</w:t>
      </w:r>
      <w:r w:rsidRPr="00B059E0">
        <w:rPr>
          <w:szCs w:val="24"/>
          <w:lang w:val="en-US"/>
        </w:rPr>
        <w:t>.</w:t>
      </w:r>
    </w:p>
    <w:p w14:paraId="60427F41" w14:textId="179D27A9" w:rsidR="00F1486F" w:rsidRPr="00B059E0" w:rsidRDefault="00F1486F" w:rsidP="00B059E0">
      <w:pPr>
        <w:spacing w:line="240" w:lineRule="auto"/>
        <w:ind w:left="720" w:hanging="720"/>
        <w:jc w:val="both"/>
        <w:rPr>
          <w:szCs w:val="24"/>
          <w:lang w:val="en-US"/>
        </w:rPr>
      </w:pPr>
      <w:r w:rsidRPr="00B059E0">
        <w:rPr>
          <w:szCs w:val="24"/>
          <w:lang w:val="en-US"/>
        </w:rPr>
        <w:t>Kriss, I.</w:t>
      </w:r>
      <w:r w:rsidR="007D352E" w:rsidRPr="00B059E0">
        <w:rPr>
          <w:szCs w:val="24"/>
          <w:lang w:val="en-US"/>
        </w:rPr>
        <w:t>,</w:t>
      </w:r>
      <w:r w:rsidRPr="00B059E0">
        <w:rPr>
          <w:szCs w:val="24"/>
          <w:lang w:val="en-US"/>
        </w:rPr>
        <w:t xml:space="preserve"> &amp; Evans, B.</w:t>
      </w:r>
      <w:r w:rsidR="007D6EF3" w:rsidRPr="00B059E0">
        <w:rPr>
          <w:szCs w:val="24"/>
          <w:lang w:val="en-US"/>
        </w:rPr>
        <w:t xml:space="preserve"> </w:t>
      </w:r>
      <w:r w:rsidRPr="00B059E0">
        <w:rPr>
          <w:szCs w:val="24"/>
          <w:lang w:val="en-US"/>
        </w:rPr>
        <w:t>J.</w:t>
      </w:r>
      <w:r w:rsidR="007D6EF3" w:rsidRPr="00B059E0">
        <w:rPr>
          <w:szCs w:val="24"/>
          <w:lang w:val="en-US"/>
        </w:rPr>
        <w:t xml:space="preserve"> </w:t>
      </w:r>
      <w:r w:rsidRPr="00B059E0">
        <w:rPr>
          <w:szCs w:val="24"/>
          <w:lang w:val="en-US"/>
        </w:rPr>
        <w:t xml:space="preserve">W. (2005). The relationship between dyslexia and Meares-Irlen Syndrome. </w:t>
      </w:r>
      <w:r w:rsidRPr="00B059E0">
        <w:rPr>
          <w:i/>
          <w:iCs/>
          <w:szCs w:val="24"/>
          <w:lang w:val="en-US"/>
        </w:rPr>
        <w:t>Journal of Research in Reading</w:t>
      </w:r>
      <w:r w:rsidRPr="00B059E0">
        <w:rPr>
          <w:szCs w:val="24"/>
          <w:lang w:val="en-US"/>
        </w:rPr>
        <w:t xml:space="preserve">, </w:t>
      </w:r>
      <w:r w:rsidRPr="00B059E0">
        <w:rPr>
          <w:i/>
          <w:iCs/>
          <w:szCs w:val="24"/>
          <w:lang w:val="en-US"/>
        </w:rPr>
        <w:t>28</w:t>
      </w:r>
      <w:r w:rsidRPr="00B059E0">
        <w:rPr>
          <w:szCs w:val="24"/>
          <w:lang w:val="en-US"/>
        </w:rPr>
        <w:t xml:space="preserve">(3), 350-364. </w:t>
      </w:r>
      <w:hyperlink r:id="rId26" w:history="1">
        <w:r w:rsidRPr="00B059E0">
          <w:rPr>
            <w:rStyle w:val="Hipervnculo"/>
            <w:szCs w:val="24"/>
            <w:lang w:val="en-US"/>
          </w:rPr>
          <w:t>https://doi.org/10.1111/j.1467-9817.2005.00274.x</w:t>
        </w:r>
      </w:hyperlink>
      <w:r w:rsidRPr="00B059E0">
        <w:rPr>
          <w:szCs w:val="24"/>
          <w:lang w:val="en-US"/>
        </w:rPr>
        <w:t xml:space="preserve"> </w:t>
      </w:r>
    </w:p>
    <w:p w14:paraId="3A4B3F17" w14:textId="5B01CF50" w:rsidR="00F1486F" w:rsidRPr="00B059E0" w:rsidRDefault="00F1486F" w:rsidP="00B059E0">
      <w:pPr>
        <w:spacing w:line="240" w:lineRule="auto"/>
        <w:ind w:left="720" w:hanging="720"/>
        <w:jc w:val="both"/>
        <w:rPr>
          <w:noProof/>
          <w:szCs w:val="24"/>
          <w:lang w:val="en-US"/>
        </w:rPr>
      </w:pPr>
      <w:r w:rsidRPr="00DA2A14">
        <w:rPr>
          <w:szCs w:val="24"/>
          <w:lang w:val="en-US"/>
        </w:rPr>
        <w:t>Miyasaka, J.</w:t>
      </w:r>
      <w:r w:rsidR="007D6EF3" w:rsidRPr="00DA2A14">
        <w:rPr>
          <w:szCs w:val="24"/>
          <w:lang w:val="en-US"/>
        </w:rPr>
        <w:t xml:space="preserve"> </w:t>
      </w:r>
      <w:r w:rsidRPr="00DA2A14">
        <w:rPr>
          <w:szCs w:val="24"/>
          <w:lang w:val="en-US"/>
        </w:rPr>
        <w:t>D.</w:t>
      </w:r>
      <w:r w:rsidR="007D6EF3" w:rsidRPr="00DA2A14">
        <w:rPr>
          <w:szCs w:val="24"/>
          <w:lang w:val="en-US"/>
        </w:rPr>
        <w:t xml:space="preserve"> </w:t>
      </w:r>
      <w:r w:rsidRPr="00DA2A14">
        <w:rPr>
          <w:szCs w:val="24"/>
          <w:lang w:val="en-US"/>
        </w:rPr>
        <w:t>S., Gonzaga</w:t>
      </w:r>
      <w:r w:rsidR="00DA121A" w:rsidRPr="00DA2A14">
        <w:rPr>
          <w:szCs w:val="24"/>
          <w:lang w:val="en-US"/>
        </w:rPr>
        <w:t>-</w:t>
      </w:r>
      <w:r w:rsidRPr="00DA2A14">
        <w:rPr>
          <w:szCs w:val="24"/>
          <w:lang w:val="en-US"/>
        </w:rPr>
        <w:t>Vieira, R.</w:t>
      </w:r>
      <w:r w:rsidR="007D6EF3" w:rsidRPr="00DA2A14">
        <w:rPr>
          <w:szCs w:val="24"/>
          <w:lang w:val="en-US"/>
        </w:rPr>
        <w:t xml:space="preserve"> </w:t>
      </w:r>
      <w:r w:rsidRPr="00DA2A14">
        <w:rPr>
          <w:szCs w:val="24"/>
          <w:lang w:val="en-US"/>
        </w:rPr>
        <w:t xml:space="preserve">V., </w:t>
      </w:r>
      <w:proofErr w:type="spellStart"/>
      <w:r w:rsidRPr="00DA2A14">
        <w:rPr>
          <w:szCs w:val="24"/>
          <w:lang w:val="en-US"/>
        </w:rPr>
        <w:t>Novalo-Goto</w:t>
      </w:r>
      <w:proofErr w:type="spellEnd"/>
      <w:r w:rsidRPr="00DA2A14">
        <w:rPr>
          <w:szCs w:val="24"/>
          <w:lang w:val="en-US"/>
        </w:rPr>
        <w:t>, E.</w:t>
      </w:r>
      <w:r w:rsidR="007D6EF3" w:rsidRPr="00DA2A14">
        <w:rPr>
          <w:szCs w:val="24"/>
          <w:lang w:val="en-US"/>
        </w:rPr>
        <w:t xml:space="preserve"> </w:t>
      </w:r>
      <w:r w:rsidRPr="00DA2A14">
        <w:rPr>
          <w:szCs w:val="24"/>
          <w:lang w:val="en-US"/>
        </w:rPr>
        <w:t>S., Montagna, E.</w:t>
      </w:r>
      <w:r w:rsidR="007D352E" w:rsidRPr="00DA2A14">
        <w:rPr>
          <w:szCs w:val="24"/>
          <w:lang w:val="en-US"/>
        </w:rPr>
        <w:t>,</w:t>
      </w:r>
      <w:r w:rsidRPr="00DA2A14">
        <w:rPr>
          <w:szCs w:val="24"/>
          <w:lang w:val="en-US"/>
        </w:rPr>
        <w:t xml:space="preserve"> &amp; </w:t>
      </w:r>
      <w:proofErr w:type="spellStart"/>
      <w:r w:rsidRPr="00DA2A14">
        <w:rPr>
          <w:szCs w:val="24"/>
          <w:lang w:val="en-US"/>
        </w:rPr>
        <w:t>Wajnsztejn</w:t>
      </w:r>
      <w:proofErr w:type="spellEnd"/>
      <w:r w:rsidRPr="00DA2A14">
        <w:rPr>
          <w:szCs w:val="24"/>
          <w:lang w:val="en-US"/>
        </w:rPr>
        <w:t xml:space="preserve">, R. (2019). </w:t>
      </w:r>
      <w:r w:rsidRPr="00B059E0">
        <w:rPr>
          <w:szCs w:val="24"/>
          <w:lang w:val="en-US"/>
        </w:rPr>
        <w:t xml:space="preserve">Irlen syndrome: Systematic review and level of evidence analysis. </w:t>
      </w:r>
      <w:r w:rsidRPr="00B059E0">
        <w:rPr>
          <w:i/>
          <w:iCs/>
          <w:szCs w:val="24"/>
          <w:lang w:val="en-US"/>
        </w:rPr>
        <w:t>Arquivos de Neuro-Psiquiatria</w:t>
      </w:r>
      <w:r w:rsidRPr="00B059E0">
        <w:rPr>
          <w:szCs w:val="24"/>
          <w:lang w:val="en-US"/>
        </w:rPr>
        <w:t>,</w:t>
      </w:r>
      <w:r w:rsidRPr="00B059E0">
        <w:rPr>
          <w:i/>
          <w:iCs/>
          <w:szCs w:val="24"/>
          <w:lang w:val="en-US"/>
        </w:rPr>
        <w:t xml:space="preserve"> 77</w:t>
      </w:r>
      <w:r w:rsidRPr="00B059E0">
        <w:rPr>
          <w:szCs w:val="24"/>
          <w:lang w:val="en-US"/>
        </w:rPr>
        <w:t xml:space="preserve">(3), 194-207. </w:t>
      </w:r>
      <w:hyperlink r:id="rId27" w:history="1">
        <w:r w:rsidRPr="00B059E0">
          <w:rPr>
            <w:rStyle w:val="Hipervnculo"/>
            <w:szCs w:val="24"/>
            <w:lang w:val="en-US"/>
          </w:rPr>
          <w:t>https://doi.org/10.1590/0004-282x20190014</w:t>
        </w:r>
      </w:hyperlink>
      <w:r w:rsidRPr="00B059E0">
        <w:rPr>
          <w:szCs w:val="24"/>
          <w:lang w:val="en-US"/>
        </w:rPr>
        <w:t xml:space="preserve"> </w:t>
      </w:r>
    </w:p>
    <w:p w14:paraId="73C0186A" w14:textId="2CA8EE21" w:rsidR="00F1486F" w:rsidRPr="00B059E0" w:rsidRDefault="00F1486F" w:rsidP="00B059E0">
      <w:pPr>
        <w:spacing w:line="240" w:lineRule="auto"/>
        <w:ind w:left="720" w:hanging="720"/>
        <w:jc w:val="both"/>
        <w:rPr>
          <w:szCs w:val="24"/>
          <w:lang w:val="en-US"/>
        </w:rPr>
      </w:pPr>
      <w:r w:rsidRPr="00B059E0">
        <w:rPr>
          <w:szCs w:val="24"/>
          <w:lang w:val="en-US"/>
        </w:rPr>
        <w:t>Monger, L., Wilkins, A.</w:t>
      </w:r>
      <w:r w:rsidR="007D6EF3" w:rsidRPr="00B059E0">
        <w:rPr>
          <w:szCs w:val="24"/>
          <w:lang w:val="en-US"/>
        </w:rPr>
        <w:t xml:space="preserve"> </w:t>
      </w:r>
      <w:r w:rsidRPr="00B059E0">
        <w:rPr>
          <w:szCs w:val="24"/>
          <w:lang w:val="en-US"/>
        </w:rPr>
        <w:t>J.</w:t>
      </w:r>
      <w:r w:rsidR="007D352E" w:rsidRPr="00B059E0">
        <w:rPr>
          <w:szCs w:val="24"/>
          <w:lang w:val="en-US"/>
        </w:rPr>
        <w:t>,</w:t>
      </w:r>
      <w:r w:rsidRPr="00B059E0">
        <w:rPr>
          <w:szCs w:val="24"/>
          <w:lang w:val="en-US"/>
        </w:rPr>
        <w:t xml:space="preserve"> &amp; Allen, P. (2015). Identifying visual stress during a routine eye examination. </w:t>
      </w:r>
      <w:r w:rsidRPr="00B059E0">
        <w:rPr>
          <w:i/>
          <w:iCs/>
          <w:szCs w:val="24"/>
          <w:lang w:val="en-US"/>
        </w:rPr>
        <w:t>Journal of Optometry</w:t>
      </w:r>
      <w:r w:rsidRPr="00B059E0">
        <w:rPr>
          <w:szCs w:val="24"/>
          <w:lang w:val="en-US"/>
        </w:rPr>
        <w:t xml:space="preserve">, </w:t>
      </w:r>
      <w:r w:rsidRPr="00B059E0">
        <w:rPr>
          <w:i/>
          <w:iCs/>
          <w:szCs w:val="24"/>
          <w:lang w:val="en-US"/>
        </w:rPr>
        <w:t>8</w:t>
      </w:r>
      <w:r w:rsidRPr="00B059E0">
        <w:rPr>
          <w:szCs w:val="24"/>
          <w:lang w:val="en-US"/>
        </w:rPr>
        <w:t>(2), 140-145</w:t>
      </w:r>
      <w:r w:rsidR="0024791D">
        <w:rPr>
          <w:szCs w:val="24"/>
          <w:lang w:val="en-US"/>
        </w:rPr>
        <w:t>.</w:t>
      </w:r>
      <w:r w:rsidRPr="00B059E0">
        <w:rPr>
          <w:szCs w:val="24"/>
          <w:lang w:val="en-US"/>
        </w:rPr>
        <w:t xml:space="preserve"> </w:t>
      </w:r>
      <w:hyperlink r:id="rId28" w:history="1">
        <w:r w:rsidRPr="00B059E0">
          <w:rPr>
            <w:rStyle w:val="Hipervnculo"/>
            <w:szCs w:val="24"/>
            <w:lang w:val="en-US"/>
          </w:rPr>
          <w:t>https://doi.org/10.1016/j.optom.2014.10.001</w:t>
        </w:r>
      </w:hyperlink>
      <w:r w:rsidRPr="00B059E0">
        <w:rPr>
          <w:szCs w:val="24"/>
          <w:lang w:val="en-US"/>
        </w:rPr>
        <w:t xml:space="preserve"> </w:t>
      </w:r>
    </w:p>
    <w:p w14:paraId="2B758A27" w14:textId="1F4922EA" w:rsidR="00F1486F" w:rsidRPr="00B059E0" w:rsidRDefault="00F1486F" w:rsidP="00B059E0">
      <w:pPr>
        <w:spacing w:line="240" w:lineRule="auto"/>
        <w:ind w:left="720" w:hanging="720"/>
        <w:jc w:val="both"/>
        <w:rPr>
          <w:szCs w:val="24"/>
          <w:lang w:val="en-US"/>
        </w:rPr>
      </w:pPr>
      <w:r w:rsidRPr="00B059E0">
        <w:rPr>
          <w:szCs w:val="24"/>
          <w:lang w:val="en-US"/>
        </w:rPr>
        <w:lastRenderedPageBreak/>
        <w:t>Nandakumar, K.</w:t>
      </w:r>
      <w:r w:rsidR="007D352E" w:rsidRPr="00B059E0">
        <w:rPr>
          <w:szCs w:val="24"/>
          <w:lang w:val="en-US"/>
        </w:rPr>
        <w:t>,</w:t>
      </w:r>
      <w:r w:rsidRPr="00B059E0">
        <w:rPr>
          <w:szCs w:val="24"/>
          <w:lang w:val="en-US"/>
        </w:rPr>
        <w:t xml:space="preserve"> &amp; </w:t>
      </w:r>
      <w:proofErr w:type="spellStart"/>
      <w:r w:rsidRPr="00B059E0">
        <w:rPr>
          <w:szCs w:val="24"/>
          <w:lang w:val="en-US"/>
        </w:rPr>
        <w:t>Leat</w:t>
      </w:r>
      <w:proofErr w:type="spellEnd"/>
      <w:r w:rsidRPr="00B059E0">
        <w:rPr>
          <w:szCs w:val="24"/>
          <w:lang w:val="en-US"/>
        </w:rPr>
        <w:t>, S.</w:t>
      </w:r>
      <w:r w:rsidR="001A1A11">
        <w:rPr>
          <w:szCs w:val="24"/>
          <w:lang w:val="en-US"/>
        </w:rPr>
        <w:t xml:space="preserve"> </w:t>
      </w:r>
      <w:r w:rsidRPr="00B059E0">
        <w:rPr>
          <w:szCs w:val="24"/>
          <w:lang w:val="en-US"/>
        </w:rPr>
        <w:t xml:space="preserve">J. (2008). Dyslexia: A review of two theories. </w:t>
      </w:r>
      <w:r w:rsidRPr="00B059E0">
        <w:rPr>
          <w:i/>
          <w:iCs/>
          <w:szCs w:val="24"/>
          <w:lang w:val="en-US"/>
        </w:rPr>
        <w:t>Clinical and Experimental Optometry</w:t>
      </w:r>
      <w:r w:rsidR="007D352E" w:rsidRPr="00B059E0">
        <w:rPr>
          <w:szCs w:val="24"/>
          <w:lang w:val="en-US"/>
        </w:rPr>
        <w:t>,</w:t>
      </w:r>
      <w:r w:rsidRPr="00B059E0">
        <w:rPr>
          <w:szCs w:val="24"/>
          <w:lang w:val="en-US"/>
        </w:rPr>
        <w:t xml:space="preserve"> </w:t>
      </w:r>
      <w:r w:rsidRPr="00B059E0">
        <w:rPr>
          <w:i/>
          <w:iCs/>
          <w:szCs w:val="24"/>
          <w:lang w:val="en-US"/>
        </w:rPr>
        <w:t>91</w:t>
      </w:r>
      <w:r w:rsidRPr="00B059E0">
        <w:rPr>
          <w:szCs w:val="24"/>
          <w:lang w:val="en-US"/>
        </w:rPr>
        <w:t xml:space="preserve">(4), 333-340. </w:t>
      </w:r>
      <w:hyperlink r:id="rId29">
        <w:r w:rsidRPr="00B059E0">
          <w:rPr>
            <w:rStyle w:val="Hipervnculo"/>
            <w:szCs w:val="24"/>
            <w:lang w:val="en-US"/>
          </w:rPr>
          <w:t>https://doi.org/10.1111/j.1444-0938.2008.00277.x</w:t>
        </w:r>
      </w:hyperlink>
      <w:r w:rsidRPr="00B059E0">
        <w:rPr>
          <w:szCs w:val="24"/>
          <w:lang w:val="en-US"/>
        </w:rPr>
        <w:t xml:space="preserve">  </w:t>
      </w:r>
    </w:p>
    <w:p w14:paraId="5741C685" w14:textId="67C43024" w:rsidR="00F1486F" w:rsidRPr="00B059E0" w:rsidRDefault="00F1486F" w:rsidP="00B059E0">
      <w:pPr>
        <w:spacing w:line="240" w:lineRule="auto"/>
        <w:ind w:left="720" w:hanging="720"/>
        <w:jc w:val="both"/>
        <w:rPr>
          <w:szCs w:val="24"/>
          <w:lang w:val="en-US"/>
        </w:rPr>
      </w:pPr>
      <w:r w:rsidRPr="00B059E0">
        <w:rPr>
          <w:szCs w:val="24"/>
          <w:lang w:val="en-US"/>
        </w:rPr>
        <w:t>Perfetti, C. A. (1994). Psycholinguistics and reading ability. In M.</w:t>
      </w:r>
      <w:r w:rsidR="007D352E" w:rsidRPr="00B059E0">
        <w:rPr>
          <w:szCs w:val="24"/>
          <w:lang w:val="en-US"/>
        </w:rPr>
        <w:t xml:space="preserve"> </w:t>
      </w:r>
      <w:r w:rsidRPr="00B059E0">
        <w:rPr>
          <w:szCs w:val="24"/>
          <w:lang w:val="en-US"/>
        </w:rPr>
        <w:t xml:space="preserve">A. </w:t>
      </w:r>
      <w:proofErr w:type="spellStart"/>
      <w:r w:rsidRPr="00B059E0">
        <w:rPr>
          <w:szCs w:val="24"/>
          <w:lang w:val="en-US"/>
        </w:rPr>
        <w:t>Gernsbacher</w:t>
      </w:r>
      <w:proofErr w:type="spellEnd"/>
      <w:r w:rsidRPr="00B059E0">
        <w:rPr>
          <w:szCs w:val="24"/>
          <w:lang w:val="en-US"/>
        </w:rPr>
        <w:t xml:space="preserve"> (Ed.),</w:t>
      </w:r>
      <w:r w:rsidR="00DA121A">
        <w:rPr>
          <w:szCs w:val="24"/>
          <w:lang w:val="en-US"/>
        </w:rPr>
        <w:t xml:space="preserve"> </w:t>
      </w:r>
      <w:r w:rsidRPr="00B059E0">
        <w:rPr>
          <w:i/>
          <w:iCs/>
          <w:szCs w:val="24"/>
          <w:lang w:val="en-US"/>
        </w:rPr>
        <w:t>Handbook of Psycholinguistics</w:t>
      </w:r>
      <w:r w:rsidRPr="00B059E0">
        <w:rPr>
          <w:szCs w:val="24"/>
          <w:lang w:val="en-US"/>
        </w:rPr>
        <w:t xml:space="preserve"> (pp. 849-894). Academic Press.</w:t>
      </w:r>
    </w:p>
    <w:p w14:paraId="1169B9AE" w14:textId="19FF6DF2" w:rsidR="00F1486F" w:rsidRPr="00B059E0" w:rsidRDefault="00F1486F" w:rsidP="00B059E0">
      <w:pPr>
        <w:spacing w:line="240" w:lineRule="auto"/>
        <w:ind w:left="720" w:hanging="720"/>
        <w:jc w:val="both"/>
        <w:rPr>
          <w:rFonts w:eastAsiaTheme="minorHAnsi"/>
          <w:color w:val="231F20"/>
          <w:szCs w:val="24"/>
          <w:lang w:val="en-US" w:eastAsia="en-US"/>
        </w:rPr>
      </w:pPr>
      <w:r w:rsidRPr="00B059E0">
        <w:rPr>
          <w:szCs w:val="24"/>
          <w:lang w:val="en-US"/>
        </w:rPr>
        <w:t>Perfetti, C.A.</w:t>
      </w:r>
      <w:r w:rsidR="00077C84" w:rsidRPr="00B059E0">
        <w:rPr>
          <w:szCs w:val="24"/>
          <w:lang w:val="en-US"/>
        </w:rPr>
        <w:t>,</w:t>
      </w:r>
      <w:r w:rsidRPr="00B059E0">
        <w:rPr>
          <w:szCs w:val="24"/>
          <w:lang w:val="en-US"/>
        </w:rPr>
        <w:t xml:space="preserve"> &amp; Staffura, J. (2014). Word knowledge in a theory of reading comprehension. </w:t>
      </w:r>
      <w:r w:rsidRPr="00B059E0">
        <w:rPr>
          <w:i/>
          <w:iCs/>
          <w:szCs w:val="24"/>
          <w:lang w:val="en-US"/>
        </w:rPr>
        <w:t>Scientific Studies of Reading</w:t>
      </w:r>
      <w:r w:rsidRPr="00B059E0">
        <w:rPr>
          <w:szCs w:val="24"/>
          <w:lang w:val="en-US"/>
        </w:rPr>
        <w:t>,</w:t>
      </w:r>
      <w:r w:rsidRPr="00B059E0">
        <w:rPr>
          <w:i/>
          <w:iCs/>
          <w:szCs w:val="24"/>
          <w:lang w:val="en-US"/>
        </w:rPr>
        <w:t xml:space="preserve"> 18</w:t>
      </w:r>
      <w:r w:rsidRPr="00B059E0">
        <w:rPr>
          <w:szCs w:val="24"/>
          <w:lang w:val="en-US"/>
        </w:rPr>
        <w:t xml:space="preserve">, 22-37. </w:t>
      </w:r>
      <w:hyperlink r:id="rId30" w:history="1">
        <w:r w:rsidRPr="00B059E0">
          <w:rPr>
            <w:rStyle w:val="Hipervnculo"/>
            <w:szCs w:val="24"/>
            <w:lang w:val="en-US"/>
          </w:rPr>
          <w:t>https://doi.org/</w:t>
        </w:r>
        <w:r w:rsidRPr="00B059E0">
          <w:rPr>
            <w:rStyle w:val="Hipervnculo"/>
            <w:rFonts w:eastAsiaTheme="minorHAnsi"/>
            <w:szCs w:val="24"/>
            <w:lang w:val="en-US" w:eastAsia="en-US"/>
          </w:rPr>
          <w:t>10.1080/10888438.2013.827687</w:t>
        </w:r>
      </w:hyperlink>
    </w:p>
    <w:p w14:paraId="20050821" w14:textId="0E95F05C" w:rsidR="00F1486F" w:rsidRPr="00B059E0" w:rsidRDefault="00F1486F" w:rsidP="00B059E0">
      <w:pPr>
        <w:spacing w:line="240" w:lineRule="auto"/>
        <w:ind w:left="720" w:hanging="720"/>
        <w:jc w:val="both"/>
        <w:rPr>
          <w:szCs w:val="24"/>
          <w:lang w:val="es-ES"/>
        </w:rPr>
      </w:pPr>
      <w:r w:rsidRPr="00B059E0">
        <w:rPr>
          <w:noProof/>
          <w:szCs w:val="24"/>
          <w:lang w:val="en-US"/>
        </w:rPr>
        <w:t>Rello, L.</w:t>
      </w:r>
      <w:r w:rsidR="00077C84" w:rsidRPr="00B059E0">
        <w:rPr>
          <w:noProof/>
          <w:szCs w:val="24"/>
          <w:lang w:val="en-US"/>
        </w:rPr>
        <w:t>,</w:t>
      </w:r>
      <w:r w:rsidRPr="00B059E0">
        <w:rPr>
          <w:noProof/>
          <w:szCs w:val="24"/>
          <w:lang w:val="en-US"/>
        </w:rPr>
        <w:t xml:space="preserve"> &amp; Bigham, J.</w:t>
      </w:r>
      <w:r w:rsidR="00077C84" w:rsidRPr="00B059E0">
        <w:rPr>
          <w:noProof/>
          <w:szCs w:val="24"/>
          <w:lang w:val="en-US"/>
        </w:rPr>
        <w:t xml:space="preserve"> </w:t>
      </w:r>
      <w:r w:rsidRPr="00B059E0">
        <w:rPr>
          <w:noProof/>
          <w:szCs w:val="24"/>
          <w:lang w:val="en-US"/>
        </w:rPr>
        <w:t xml:space="preserve">P. (2017). </w:t>
      </w:r>
      <w:r w:rsidRPr="00B059E0">
        <w:rPr>
          <w:szCs w:val="24"/>
          <w:lang w:val="en-US"/>
        </w:rPr>
        <w:t xml:space="preserve">Good </w:t>
      </w:r>
      <w:r w:rsidR="00DA121A">
        <w:rPr>
          <w:szCs w:val="24"/>
          <w:lang w:val="en-US"/>
        </w:rPr>
        <w:t>b</w:t>
      </w:r>
      <w:r w:rsidRPr="00B059E0">
        <w:rPr>
          <w:szCs w:val="24"/>
          <w:lang w:val="en-US"/>
        </w:rPr>
        <w:t xml:space="preserve">ackground </w:t>
      </w:r>
      <w:r w:rsidR="00DA121A">
        <w:rPr>
          <w:szCs w:val="24"/>
          <w:lang w:val="en-US"/>
        </w:rPr>
        <w:t>c</w:t>
      </w:r>
      <w:r w:rsidRPr="00B059E0">
        <w:rPr>
          <w:szCs w:val="24"/>
          <w:lang w:val="en-US"/>
        </w:rPr>
        <w:t xml:space="preserve">olors for </w:t>
      </w:r>
      <w:r w:rsidR="00DA121A">
        <w:rPr>
          <w:szCs w:val="24"/>
          <w:lang w:val="en-US"/>
        </w:rPr>
        <w:t>r</w:t>
      </w:r>
      <w:r w:rsidRPr="00B059E0">
        <w:rPr>
          <w:szCs w:val="24"/>
          <w:lang w:val="en-US"/>
        </w:rPr>
        <w:t xml:space="preserve">eaders: A </w:t>
      </w:r>
      <w:r w:rsidR="00DA121A">
        <w:rPr>
          <w:szCs w:val="24"/>
          <w:lang w:val="en-US"/>
        </w:rPr>
        <w:t>s</w:t>
      </w:r>
      <w:r w:rsidRPr="00B059E0">
        <w:rPr>
          <w:szCs w:val="24"/>
          <w:lang w:val="en-US"/>
        </w:rPr>
        <w:t xml:space="preserve">tudy of </w:t>
      </w:r>
      <w:r w:rsidR="00DA121A">
        <w:rPr>
          <w:szCs w:val="24"/>
          <w:lang w:val="en-US"/>
        </w:rPr>
        <w:t>p</w:t>
      </w:r>
      <w:r w:rsidRPr="00B059E0">
        <w:rPr>
          <w:szCs w:val="24"/>
          <w:lang w:val="en-US"/>
        </w:rPr>
        <w:t>eople with and without Dyslexia.</w:t>
      </w:r>
      <w:r w:rsidR="00DA121A">
        <w:rPr>
          <w:szCs w:val="24"/>
          <w:lang w:val="en-US"/>
        </w:rPr>
        <w:t xml:space="preserve"> In</w:t>
      </w:r>
      <w:r w:rsidRPr="00B059E0">
        <w:rPr>
          <w:szCs w:val="24"/>
          <w:lang w:val="en-US"/>
        </w:rPr>
        <w:t xml:space="preserve"> </w:t>
      </w:r>
      <w:r w:rsidRPr="00B059E0">
        <w:rPr>
          <w:i/>
          <w:iCs/>
          <w:szCs w:val="24"/>
          <w:lang w:val="en-US"/>
        </w:rPr>
        <w:t>Proceedings of the 19th International ACM SIGACCESS Conference on Computers and Accessibility</w:t>
      </w:r>
      <w:r w:rsidRPr="00B059E0">
        <w:rPr>
          <w:szCs w:val="24"/>
          <w:lang w:val="en-US"/>
        </w:rPr>
        <w:t xml:space="preserve">, 72-80. </w:t>
      </w:r>
      <w:hyperlink r:id="rId31" w:history="1">
        <w:r w:rsidRPr="00B059E0">
          <w:rPr>
            <w:rStyle w:val="Hipervnculo"/>
            <w:szCs w:val="24"/>
            <w:lang w:val="es-ES"/>
          </w:rPr>
          <w:t>https://doi.org/10.1145/3132525.3132546</w:t>
        </w:r>
      </w:hyperlink>
      <w:r w:rsidRPr="00B059E0">
        <w:rPr>
          <w:szCs w:val="24"/>
          <w:lang w:val="es-ES"/>
        </w:rPr>
        <w:t xml:space="preserve"> </w:t>
      </w:r>
    </w:p>
    <w:p w14:paraId="7C158B23" w14:textId="17C9891C" w:rsidR="00F1486F" w:rsidRPr="00B059E0" w:rsidRDefault="00F1486F" w:rsidP="00B059E0">
      <w:pPr>
        <w:spacing w:line="240" w:lineRule="auto"/>
        <w:ind w:left="720" w:hanging="720"/>
        <w:jc w:val="both"/>
        <w:rPr>
          <w:szCs w:val="24"/>
          <w:lang w:val="pt-PT"/>
        </w:rPr>
      </w:pPr>
      <w:r w:rsidRPr="00B059E0">
        <w:rPr>
          <w:szCs w:val="24"/>
        </w:rPr>
        <w:t>Ritchie, S.</w:t>
      </w:r>
      <w:r w:rsidR="00077C84" w:rsidRPr="00B059E0">
        <w:rPr>
          <w:szCs w:val="24"/>
        </w:rPr>
        <w:t xml:space="preserve"> </w:t>
      </w:r>
      <w:r w:rsidRPr="00B059E0">
        <w:rPr>
          <w:szCs w:val="24"/>
        </w:rPr>
        <w:t>J., Della</w:t>
      </w:r>
      <w:r w:rsidR="00DA121A">
        <w:rPr>
          <w:szCs w:val="24"/>
        </w:rPr>
        <w:t>-</w:t>
      </w:r>
      <w:r w:rsidRPr="00B059E0">
        <w:rPr>
          <w:szCs w:val="24"/>
        </w:rPr>
        <w:t>Sala, S.</w:t>
      </w:r>
      <w:r w:rsidR="00077C84" w:rsidRPr="00B059E0">
        <w:rPr>
          <w:szCs w:val="24"/>
        </w:rPr>
        <w:t xml:space="preserve"> </w:t>
      </w:r>
      <w:r w:rsidRPr="00B059E0">
        <w:rPr>
          <w:szCs w:val="24"/>
        </w:rPr>
        <w:t xml:space="preserve">D., &amp; </w:t>
      </w:r>
      <w:proofErr w:type="spellStart"/>
      <w:r w:rsidRPr="00B059E0">
        <w:rPr>
          <w:szCs w:val="24"/>
        </w:rPr>
        <w:t>McIntosh</w:t>
      </w:r>
      <w:proofErr w:type="spellEnd"/>
      <w:r w:rsidRPr="00B059E0">
        <w:rPr>
          <w:szCs w:val="24"/>
        </w:rPr>
        <w:t>, R.</w:t>
      </w:r>
      <w:r w:rsidR="00077C84" w:rsidRPr="00B059E0">
        <w:rPr>
          <w:szCs w:val="24"/>
        </w:rPr>
        <w:t xml:space="preserve"> </w:t>
      </w:r>
      <w:r w:rsidRPr="00B059E0">
        <w:rPr>
          <w:szCs w:val="24"/>
        </w:rPr>
        <w:t xml:space="preserve">D. (2011). </w:t>
      </w:r>
      <w:r w:rsidRPr="00B059E0">
        <w:rPr>
          <w:szCs w:val="24"/>
          <w:lang w:val="en-US"/>
        </w:rPr>
        <w:t xml:space="preserve">Irlen-colored overlays do not alleviate reading difficulties. </w:t>
      </w:r>
      <w:r w:rsidRPr="00B059E0">
        <w:rPr>
          <w:i/>
          <w:iCs/>
          <w:szCs w:val="24"/>
          <w:lang w:val="pt-PT"/>
        </w:rPr>
        <w:t>Pediatrics</w:t>
      </w:r>
      <w:r w:rsidRPr="00B059E0">
        <w:rPr>
          <w:szCs w:val="24"/>
          <w:lang w:val="pt-PT"/>
        </w:rPr>
        <w:t xml:space="preserve">, </w:t>
      </w:r>
      <w:r w:rsidRPr="00B059E0">
        <w:rPr>
          <w:i/>
          <w:iCs/>
          <w:szCs w:val="24"/>
          <w:lang w:val="pt-PT"/>
        </w:rPr>
        <w:t>128</w:t>
      </w:r>
      <w:r w:rsidRPr="00B059E0">
        <w:rPr>
          <w:szCs w:val="24"/>
          <w:lang w:val="pt-PT"/>
        </w:rPr>
        <w:t xml:space="preserve">(4), 932-938. </w:t>
      </w:r>
      <w:hyperlink r:id="rId32" w:history="1">
        <w:r w:rsidRPr="00B059E0">
          <w:rPr>
            <w:rStyle w:val="Hipervnculo"/>
            <w:szCs w:val="24"/>
            <w:lang w:val="pt-PT"/>
          </w:rPr>
          <w:t>https://doi.org/10.1542/peds.2011-0314</w:t>
        </w:r>
      </w:hyperlink>
    </w:p>
    <w:p w14:paraId="6187C3E9" w14:textId="43702780" w:rsidR="00F1486F" w:rsidRPr="00B059E0" w:rsidRDefault="00F1486F" w:rsidP="00B059E0">
      <w:pPr>
        <w:spacing w:line="240" w:lineRule="auto"/>
        <w:ind w:left="720" w:hanging="720"/>
        <w:jc w:val="both"/>
        <w:rPr>
          <w:szCs w:val="24"/>
          <w:lang w:val="en-US"/>
        </w:rPr>
      </w:pPr>
      <w:r w:rsidRPr="00B059E0">
        <w:rPr>
          <w:szCs w:val="24"/>
          <w:lang w:val="es-ES"/>
        </w:rPr>
        <w:t>Ritchie, S.</w:t>
      </w:r>
      <w:r w:rsidR="00077C84" w:rsidRPr="00B059E0">
        <w:rPr>
          <w:szCs w:val="24"/>
          <w:lang w:val="es-ES"/>
        </w:rPr>
        <w:t xml:space="preserve"> </w:t>
      </w:r>
      <w:r w:rsidRPr="00B059E0">
        <w:rPr>
          <w:szCs w:val="24"/>
          <w:lang w:val="es-ES"/>
        </w:rPr>
        <w:t>J., Della</w:t>
      </w:r>
      <w:r w:rsidR="00DA121A">
        <w:rPr>
          <w:szCs w:val="24"/>
          <w:lang w:val="es-ES"/>
        </w:rPr>
        <w:t>-</w:t>
      </w:r>
      <w:r w:rsidRPr="00B059E0">
        <w:rPr>
          <w:szCs w:val="24"/>
          <w:lang w:val="es-ES"/>
        </w:rPr>
        <w:t>Sala, S.</w:t>
      </w:r>
      <w:r w:rsidR="00077C84" w:rsidRPr="00B059E0">
        <w:rPr>
          <w:szCs w:val="24"/>
          <w:lang w:val="es-ES"/>
        </w:rPr>
        <w:t xml:space="preserve"> </w:t>
      </w:r>
      <w:r w:rsidRPr="00B059E0">
        <w:rPr>
          <w:szCs w:val="24"/>
          <w:lang w:val="es-ES"/>
        </w:rPr>
        <w:t xml:space="preserve">D., &amp; </w:t>
      </w:r>
      <w:proofErr w:type="spellStart"/>
      <w:r w:rsidRPr="00B059E0">
        <w:rPr>
          <w:szCs w:val="24"/>
          <w:lang w:val="es-ES"/>
        </w:rPr>
        <w:t>McIntosh</w:t>
      </w:r>
      <w:proofErr w:type="spellEnd"/>
      <w:r w:rsidRPr="00B059E0">
        <w:rPr>
          <w:szCs w:val="24"/>
          <w:lang w:val="es-ES"/>
        </w:rPr>
        <w:t xml:space="preserve">, R. D. (2012). </w:t>
      </w:r>
      <w:r w:rsidRPr="00B059E0">
        <w:rPr>
          <w:szCs w:val="24"/>
          <w:lang w:val="en-US"/>
        </w:rPr>
        <w:t xml:space="preserve">Irlen </w:t>
      </w:r>
      <w:r w:rsidR="00DA121A">
        <w:rPr>
          <w:szCs w:val="24"/>
          <w:lang w:val="en-US"/>
        </w:rPr>
        <w:t>c</w:t>
      </w:r>
      <w:r w:rsidRPr="00B059E0">
        <w:rPr>
          <w:szCs w:val="24"/>
          <w:lang w:val="en-US"/>
        </w:rPr>
        <w:t xml:space="preserve">olored </w:t>
      </w:r>
      <w:r w:rsidR="00DA121A">
        <w:rPr>
          <w:szCs w:val="24"/>
          <w:lang w:val="en-US"/>
        </w:rPr>
        <w:t>f</w:t>
      </w:r>
      <w:r w:rsidRPr="00B059E0">
        <w:rPr>
          <w:szCs w:val="24"/>
          <w:lang w:val="en-US"/>
        </w:rPr>
        <w:t xml:space="preserve">ilters in the </w:t>
      </w:r>
      <w:r w:rsidR="00DA121A">
        <w:rPr>
          <w:szCs w:val="24"/>
          <w:lang w:val="en-US"/>
        </w:rPr>
        <w:t>c</w:t>
      </w:r>
      <w:r w:rsidRPr="00B059E0">
        <w:rPr>
          <w:szCs w:val="24"/>
          <w:lang w:val="en-US"/>
        </w:rPr>
        <w:t xml:space="preserve">lassroom: A 1-Year </w:t>
      </w:r>
      <w:r w:rsidR="00DA121A">
        <w:rPr>
          <w:szCs w:val="24"/>
          <w:lang w:val="en-US"/>
        </w:rPr>
        <w:t>f</w:t>
      </w:r>
      <w:r w:rsidRPr="00B059E0">
        <w:rPr>
          <w:szCs w:val="24"/>
          <w:lang w:val="en-US"/>
        </w:rPr>
        <w:t>ollow-</w:t>
      </w:r>
      <w:r w:rsidR="00DA121A">
        <w:rPr>
          <w:szCs w:val="24"/>
          <w:lang w:val="en-US"/>
        </w:rPr>
        <w:t>u</w:t>
      </w:r>
      <w:r w:rsidRPr="00B059E0">
        <w:rPr>
          <w:szCs w:val="24"/>
          <w:lang w:val="en-US"/>
        </w:rPr>
        <w:t xml:space="preserve">p. </w:t>
      </w:r>
      <w:r w:rsidRPr="00B059E0">
        <w:rPr>
          <w:i/>
          <w:iCs/>
          <w:szCs w:val="24"/>
          <w:lang w:val="en-US"/>
        </w:rPr>
        <w:t>Mind, Brain, and Education</w:t>
      </w:r>
      <w:r w:rsidRPr="00B059E0">
        <w:rPr>
          <w:szCs w:val="24"/>
          <w:lang w:val="en-US"/>
        </w:rPr>
        <w:t>,</w:t>
      </w:r>
      <w:r w:rsidRPr="00B059E0">
        <w:rPr>
          <w:i/>
          <w:iCs/>
          <w:szCs w:val="24"/>
          <w:lang w:val="en-US"/>
        </w:rPr>
        <w:t xml:space="preserve"> 6</w:t>
      </w:r>
      <w:r w:rsidRPr="00B059E0">
        <w:rPr>
          <w:szCs w:val="24"/>
          <w:lang w:val="en-US"/>
        </w:rPr>
        <w:t>(2), 74</w:t>
      </w:r>
      <w:r w:rsidR="00077C84" w:rsidRPr="00B059E0">
        <w:rPr>
          <w:szCs w:val="24"/>
          <w:lang w:val="en-US"/>
        </w:rPr>
        <w:t>-</w:t>
      </w:r>
      <w:r w:rsidRPr="00B059E0">
        <w:rPr>
          <w:szCs w:val="24"/>
          <w:lang w:val="en-US"/>
        </w:rPr>
        <w:t xml:space="preserve">80. </w:t>
      </w:r>
      <w:hyperlink r:id="rId33" w:history="1">
        <w:r w:rsidRPr="00B059E0">
          <w:rPr>
            <w:rStyle w:val="Hipervnculo"/>
            <w:szCs w:val="24"/>
            <w:lang w:val="en-US"/>
          </w:rPr>
          <w:t>https://doi.org/10.1111/j.1751-228X.2012.01139.x</w:t>
        </w:r>
      </w:hyperlink>
      <w:r w:rsidRPr="00B059E0">
        <w:rPr>
          <w:szCs w:val="24"/>
          <w:lang w:val="en-US"/>
        </w:rPr>
        <w:t xml:space="preserve"> </w:t>
      </w:r>
    </w:p>
    <w:p w14:paraId="3073A7C6" w14:textId="472E645D" w:rsidR="00F1486F" w:rsidRPr="00B059E0" w:rsidRDefault="00F1486F" w:rsidP="00B059E0">
      <w:pPr>
        <w:spacing w:line="240" w:lineRule="auto"/>
        <w:ind w:left="720" w:hanging="720"/>
        <w:jc w:val="both"/>
        <w:rPr>
          <w:szCs w:val="24"/>
          <w:lang w:val="en-US"/>
        </w:rPr>
      </w:pPr>
      <w:r w:rsidRPr="00B059E0">
        <w:rPr>
          <w:szCs w:val="24"/>
          <w:lang w:val="en-US"/>
        </w:rPr>
        <w:t>Robinson, G. L., Hopkins, B. R., &amp; Davies, T. (1995). The incidence of symptoms of Scotopic Sensitivity Syndrome in secondary school populations: A preliminary study.</w:t>
      </w:r>
      <w:r w:rsidR="00077C84" w:rsidRPr="00B059E0">
        <w:rPr>
          <w:szCs w:val="24"/>
          <w:lang w:val="en-US"/>
        </w:rPr>
        <w:t xml:space="preserve"> </w:t>
      </w:r>
      <w:r w:rsidRPr="00B059E0">
        <w:rPr>
          <w:i/>
          <w:iCs/>
          <w:szCs w:val="24"/>
          <w:lang w:val="en-US"/>
        </w:rPr>
        <w:t>The Bulletin for Learning Disabilities</w:t>
      </w:r>
      <w:r w:rsidRPr="00B059E0">
        <w:rPr>
          <w:szCs w:val="24"/>
          <w:lang w:val="en-US"/>
        </w:rPr>
        <w:t>,</w:t>
      </w:r>
      <w:r w:rsidR="00077C84" w:rsidRPr="00B059E0">
        <w:rPr>
          <w:szCs w:val="24"/>
          <w:lang w:val="en-US"/>
        </w:rPr>
        <w:t xml:space="preserve"> </w:t>
      </w:r>
      <w:r w:rsidRPr="009636B4">
        <w:rPr>
          <w:szCs w:val="24"/>
          <w:lang w:val="en-US"/>
        </w:rPr>
        <w:t>5</w:t>
      </w:r>
      <w:r w:rsidRPr="00B059E0">
        <w:rPr>
          <w:szCs w:val="24"/>
          <w:lang w:val="en-US"/>
        </w:rPr>
        <w:t>, 36-56.</w:t>
      </w:r>
    </w:p>
    <w:p w14:paraId="5FF82082" w14:textId="77777777" w:rsidR="00F1486F" w:rsidRPr="00B059E0" w:rsidRDefault="00F1486F" w:rsidP="00B059E0">
      <w:pPr>
        <w:spacing w:line="240" w:lineRule="auto"/>
        <w:ind w:left="720" w:hanging="720"/>
        <w:jc w:val="both"/>
        <w:rPr>
          <w:szCs w:val="24"/>
          <w:lang w:val="en-US"/>
        </w:rPr>
      </w:pPr>
      <w:r w:rsidRPr="00B059E0">
        <w:rPr>
          <w:rFonts w:eastAsia="Times New Roman"/>
          <w:szCs w:val="24"/>
          <w:lang w:val="en-US"/>
        </w:rPr>
        <w:t xml:space="preserve">Sacoman, M. B. (2020). Irlen Syndrome: Manifestations and the Intervention Process. </w:t>
      </w:r>
      <w:r w:rsidRPr="00B059E0">
        <w:rPr>
          <w:rFonts w:eastAsia="Times New Roman"/>
          <w:i/>
          <w:iCs/>
          <w:szCs w:val="24"/>
          <w:lang w:val="en-US"/>
        </w:rPr>
        <w:t>EC Neurology</w:t>
      </w:r>
      <w:r w:rsidRPr="00B059E0">
        <w:rPr>
          <w:rFonts w:eastAsia="Times New Roman"/>
          <w:szCs w:val="24"/>
          <w:lang w:val="en-US"/>
        </w:rPr>
        <w:t xml:space="preserve">, </w:t>
      </w:r>
      <w:r w:rsidRPr="00B059E0">
        <w:rPr>
          <w:rFonts w:eastAsia="Times New Roman"/>
          <w:i/>
          <w:iCs/>
          <w:szCs w:val="24"/>
          <w:lang w:val="en-US"/>
        </w:rPr>
        <w:t>12</w:t>
      </w:r>
      <w:r w:rsidRPr="00B059E0">
        <w:rPr>
          <w:rFonts w:eastAsia="Times New Roman"/>
          <w:szCs w:val="24"/>
          <w:lang w:val="en-US"/>
        </w:rPr>
        <w:t>(2), 1-12.</w:t>
      </w:r>
    </w:p>
    <w:p w14:paraId="4D04034D" w14:textId="2E51331A" w:rsidR="00F1486F" w:rsidRPr="00B059E0" w:rsidRDefault="00F1486F" w:rsidP="00B059E0">
      <w:pPr>
        <w:spacing w:line="240" w:lineRule="auto"/>
        <w:ind w:left="708" w:hanging="708"/>
        <w:jc w:val="both"/>
        <w:rPr>
          <w:szCs w:val="24"/>
          <w:lang w:val="en-US"/>
        </w:rPr>
      </w:pPr>
      <w:r w:rsidRPr="00B059E0">
        <w:rPr>
          <w:szCs w:val="24"/>
          <w:lang w:val="en-US"/>
        </w:rPr>
        <w:t>Scott, L., McWhinnie, H., Taylor, L., Stevenson, N., Irons, P., Lewis, E., &amp; Wilkins, A. (2002). Coloured overlays in schools: orthoptic and optometric findings.</w:t>
      </w:r>
      <w:r w:rsidR="00077C84" w:rsidRPr="00B059E0">
        <w:rPr>
          <w:szCs w:val="24"/>
          <w:lang w:val="en-US"/>
        </w:rPr>
        <w:t xml:space="preserve"> </w:t>
      </w:r>
      <w:r w:rsidRPr="00B059E0">
        <w:rPr>
          <w:i/>
          <w:iCs/>
          <w:szCs w:val="24"/>
          <w:lang w:val="en-US"/>
        </w:rPr>
        <w:t>Ophthalmic and Physiological Optics</w:t>
      </w:r>
      <w:r w:rsidRPr="00B059E0">
        <w:rPr>
          <w:szCs w:val="24"/>
          <w:lang w:val="en-US"/>
        </w:rPr>
        <w:t>,</w:t>
      </w:r>
      <w:r w:rsidR="00077C84" w:rsidRPr="00B059E0">
        <w:rPr>
          <w:szCs w:val="24"/>
          <w:lang w:val="en-US"/>
        </w:rPr>
        <w:t xml:space="preserve"> </w:t>
      </w:r>
      <w:r w:rsidRPr="00B059E0">
        <w:rPr>
          <w:i/>
          <w:iCs/>
          <w:szCs w:val="24"/>
          <w:lang w:val="en-US"/>
        </w:rPr>
        <w:t>22</w:t>
      </w:r>
      <w:r w:rsidRPr="00B059E0">
        <w:rPr>
          <w:szCs w:val="24"/>
          <w:lang w:val="en-US"/>
        </w:rPr>
        <w:t>(2), 156-165.</w:t>
      </w:r>
      <w:r w:rsidR="00BC255B">
        <w:rPr>
          <w:szCs w:val="24"/>
          <w:lang w:val="en-US"/>
        </w:rPr>
        <w:t xml:space="preserve"> </w:t>
      </w:r>
      <w:hyperlink r:id="rId34" w:history="1">
        <w:r w:rsidR="00BC255B" w:rsidRPr="00D413F3">
          <w:rPr>
            <w:rStyle w:val="Hipervnculo"/>
            <w:szCs w:val="24"/>
            <w:lang w:val="en-US"/>
          </w:rPr>
          <w:t>https://doi.org/10.1046/j.1475-1313.2002.00009.x</w:t>
        </w:r>
      </w:hyperlink>
      <w:r w:rsidR="00BC255B">
        <w:rPr>
          <w:szCs w:val="24"/>
          <w:lang w:val="en-US"/>
        </w:rPr>
        <w:t xml:space="preserve"> </w:t>
      </w:r>
    </w:p>
    <w:p w14:paraId="2DFF8647" w14:textId="7FD4E64C" w:rsidR="00F1486F" w:rsidRPr="00B059E0" w:rsidRDefault="00F1486F" w:rsidP="00B059E0">
      <w:pPr>
        <w:spacing w:line="240" w:lineRule="auto"/>
        <w:ind w:left="720" w:hanging="720"/>
        <w:jc w:val="both"/>
        <w:rPr>
          <w:szCs w:val="24"/>
          <w:lang w:val="en-US"/>
        </w:rPr>
      </w:pPr>
      <w:proofErr w:type="spellStart"/>
      <w:r w:rsidRPr="00B059E0">
        <w:rPr>
          <w:szCs w:val="24"/>
          <w:lang w:val="en-US"/>
        </w:rPr>
        <w:t>Seychell</w:t>
      </w:r>
      <w:proofErr w:type="spellEnd"/>
      <w:r w:rsidRPr="00B059E0">
        <w:rPr>
          <w:szCs w:val="24"/>
          <w:lang w:val="en-US"/>
        </w:rPr>
        <w:t>, O.</w:t>
      </w:r>
      <w:r w:rsidR="00077C84" w:rsidRPr="00B059E0">
        <w:rPr>
          <w:szCs w:val="24"/>
          <w:lang w:val="en-US"/>
        </w:rPr>
        <w:t xml:space="preserve"> </w:t>
      </w:r>
      <w:r w:rsidRPr="00B059E0">
        <w:rPr>
          <w:szCs w:val="24"/>
          <w:lang w:val="en-US"/>
        </w:rPr>
        <w:t xml:space="preserve">G. (2018). Understanding Irlen Syndrome in the Classroom. </w:t>
      </w:r>
      <w:r w:rsidRPr="00B059E0">
        <w:rPr>
          <w:i/>
          <w:szCs w:val="24"/>
          <w:lang w:val="en-US"/>
        </w:rPr>
        <w:t>Symposia Melitensia</w:t>
      </w:r>
      <w:r w:rsidRPr="00B059E0">
        <w:rPr>
          <w:szCs w:val="24"/>
          <w:lang w:val="en-US"/>
        </w:rPr>
        <w:t xml:space="preserve">, </w:t>
      </w:r>
      <w:r w:rsidRPr="00B059E0">
        <w:rPr>
          <w:i/>
          <w:szCs w:val="24"/>
          <w:lang w:val="en-US"/>
        </w:rPr>
        <w:t>14</w:t>
      </w:r>
      <w:r w:rsidRPr="00B059E0">
        <w:rPr>
          <w:szCs w:val="24"/>
          <w:lang w:val="en-US"/>
        </w:rPr>
        <w:t>(14), 283-291.</w:t>
      </w:r>
    </w:p>
    <w:p w14:paraId="3ECF1B73" w14:textId="2CCE3EFC" w:rsidR="00F1486F" w:rsidRPr="00B059E0" w:rsidRDefault="00F1486F" w:rsidP="00B059E0">
      <w:pPr>
        <w:spacing w:line="240" w:lineRule="auto"/>
        <w:ind w:left="720" w:hanging="720"/>
        <w:jc w:val="both"/>
        <w:rPr>
          <w:szCs w:val="24"/>
          <w:lang w:val="en-US"/>
        </w:rPr>
      </w:pPr>
      <w:r w:rsidRPr="00B059E0">
        <w:rPr>
          <w:szCs w:val="24"/>
          <w:lang w:val="en-US"/>
        </w:rPr>
        <w:t xml:space="preserve">Stein, J. (2001). The magnocellular theory of developmental dyslexia. </w:t>
      </w:r>
      <w:r w:rsidRPr="00B059E0">
        <w:rPr>
          <w:i/>
          <w:iCs/>
          <w:szCs w:val="24"/>
          <w:lang w:val="en-US"/>
        </w:rPr>
        <w:t>Dyslexia</w:t>
      </w:r>
      <w:r w:rsidRPr="00B059E0">
        <w:rPr>
          <w:szCs w:val="24"/>
          <w:lang w:val="en-US"/>
        </w:rPr>
        <w:t>,</w:t>
      </w:r>
      <w:r w:rsidRPr="00B059E0">
        <w:rPr>
          <w:i/>
          <w:iCs/>
          <w:szCs w:val="24"/>
          <w:lang w:val="en-US"/>
        </w:rPr>
        <w:t xml:space="preserve"> </w:t>
      </w:r>
      <w:r w:rsidRPr="009636B4">
        <w:rPr>
          <w:szCs w:val="24"/>
          <w:lang w:val="en-US"/>
        </w:rPr>
        <w:t>7</w:t>
      </w:r>
      <w:r w:rsidRPr="00B059E0">
        <w:rPr>
          <w:szCs w:val="24"/>
          <w:lang w:val="en-US"/>
        </w:rPr>
        <w:t>, 12</w:t>
      </w:r>
      <w:r w:rsidR="00077C84" w:rsidRPr="00B059E0">
        <w:rPr>
          <w:szCs w:val="24"/>
          <w:lang w:val="en-US"/>
        </w:rPr>
        <w:t>-</w:t>
      </w:r>
      <w:r w:rsidRPr="00B059E0">
        <w:rPr>
          <w:szCs w:val="24"/>
          <w:lang w:val="en-US"/>
        </w:rPr>
        <w:t>36.</w:t>
      </w:r>
      <w:r w:rsidR="00BC255B">
        <w:rPr>
          <w:szCs w:val="24"/>
          <w:lang w:val="en-US"/>
        </w:rPr>
        <w:t xml:space="preserve"> </w:t>
      </w:r>
      <w:hyperlink r:id="rId35" w:history="1">
        <w:r w:rsidR="00BC255B" w:rsidRPr="00D413F3">
          <w:rPr>
            <w:rStyle w:val="Hipervnculo"/>
            <w:szCs w:val="24"/>
            <w:lang w:val="en-US"/>
          </w:rPr>
          <w:t>https://doi.org/10.1002/dys.186</w:t>
        </w:r>
      </w:hyperlink>
      <w:r w:rsidR="00BC255B">
        <w:rPr>
          <w:szCs w:val="24"/>
          <w:lang w:val="en-US"/>
        </w:rPr>
        <w:t xml:space="preserve"> </w:t>
      </w:r>
    </w:p>
    <w:p w14:paraId="2A5CD376" w14:textId="348D0EEE" w:rsidR="00F1486F" w:rsidRPr="00B059E0" w:rsidRDefault="00F1486F" w:rsidP="00B059E0">
      <w:pPr>
        <w:spacing w:line="240" w:lineRule="auto"/>
        <w:ind w:left="720" w:hanging="720"/>
        <w:jc w:val="both"/>
        <w:rPr>
          <w:szCs w:val="24"/>
          <w:lang w:val="en-US"/>
        </w:rPr>
      </w:pPr>
      <w:r w:rsidRPr="00B059E0">
        <w:rPr>
          <w:szCs w:val="24"/>
          <w:lang w:val="en-US"/>
        </w:rPr>
        <w:t xml:space="preserve">Stein, J. (2018). What </w:t>
      </w:r>
      <w:proofErr w:type="gramStart"/>
      <w:r w:rsidRPr="00B059E0">
        <w:rPr>
          <w:szCs w:val="24"/>
          <w:lang w:val="en-US"/>
        </w:rPr>
        <w:t>is</w:t>
      </w:r>
      <w:proofErr w:type="gramEnd"/>
      <w:r w:rsidRPr="00B059E0">
        <w:rPr>
          <w:szCs w:val="24"/>
          <w:lang w:val="en-US"/>
        </w:rPr>
        <w:t xml:space="preserve"> </w:t>
      </w:r>
      <w:r w:rsidR="0081351D">
        <w:rPr>
          <w:szCs w:val="24"/>
          <w:lang w:val="en-US"/>
        </w:rPr>
        <w:t>d</w:t>
      </w:r>
      <w:r w:rsidRPr="00B059E0">
        <w:rPr>
          <w:szCs w:val="24"/>
          <w:lang w:val="en-US"/>
        </w:rPr>
        <w:t xml:space="preserve">evelopmental </w:t>
      </w:r>
      <w:r w:rsidR="0081351D">
        <w:rPr>
          <w:szCs w:val="24"/>
          <w:lang w:val="en-US"/>
        </w:rPr>
        <w:t>d</w:t>
      </w:r>
      <w:r w:rsidRPr="00B059E0">
        <w:rPr>
          <w:szCs w:val="24"/>
          <w:lang w:val="en-US"/>
        </w:rPr>
        <w:t>yslexia?</w:t>
      </w:r>
      <w:r w:rsidRPr="00B059E0">
        <w:rPr>
          <w:i/>
          <w:iCs/>
          <w:szCs w:val="24"/>
          <w:lang w:val="en-US"/>
        </w:rPr>
        <w:t xml:space="preserve"> Brain science</w:t>
      </w:r>
      <w:r w:rsidRPr="00B059E0">
        <w:rPr>
          <w:szCs w:val="24"/>
          <w:lang w:val="en-US"/>
        </w:rPr>
        <w:t xml:space="preserve">s, </w:t>
      </w:r>
      <w:r w:rsidRPr="00B059E0">
        <w:rPr>
          <w:i/>
          <w:iCs/>
          <w:szCs w:val="24"/>
          <w:lang w:val="en-US"/>
        </w:rPr>
        <w:t>8</w:t>
      </w:r>
      <w:r w:rsidRPr="00B059E0">
        <w:rPr>
          <w:szCs w:val="24"/>
          <w:lang w:val="en-US"/>
        </w:rPr>
        <w:t xml:space="preserve">(2), 26. </w:t>
      </w:r>
      <w:hyperlink r:id="rId36">
        <w:r w:rsidRPr="00B059E0">
          <w:rPr>
            <w:rStyle w:val="Hipervnculo"/>
            <w:szCs w:val="24"/>
            <w:lang w:val="en-US"/>
          </w:rPr>
          <w:t>https://doi.org/10.3390/brainsci8020026</w:t>
        </w:r>
      </w:hyperlink>
    </w:p>
    <w:p w14:paraId="462910B0" w14:textId="0A441B3B" w:rsidR="00F1486F" w:rsidRPr="00B059E0" w:rsidRDefault="00F1486F" w:rsidP="00B059E0">
      <w:pPr>
        <w:spacing w:line="240" w:lineRule="auto"/>
        <w:ind w:left="720" w:hanging="720"/>
        <w:jc w:val="both"/>
        <w:rPr>
          <w:szCs w:val="24"/>
          <w:lang w:val="es-ES"/>
        </w:rPr>
      </w:pPr>
      <w:r w:rsidRPr="00B059E0">
        <w:rPr>
          <w:szCs w:val="24"/>
          <w:lang w:val="en-US"/>
        </w:rPr>
        <w:t xml:space="preserve">Stone, R. (2003). </w:t>
      </w:r>
      <w:r w:rsidRPr="00B059E0">
        <w:rPr>
          <w:i/>
          <w:iCs/>
          <w:szCs w:val="24"/>
          <w:lang w:val="en-US"/>
        </w:rPr>
        <w:t>The light barrier: Understanding the mystery of Irlen Syndrome and Light-Based reading difficulties</w:t>
      </w:r>
      <w:r w:rsidRPr="00B059E0">
        <w:rPr>
          <w:szCs w:val="24"/>
          <w:lang w:val="en-US"/>
        </w:rPr>
        <w:t xml:space="preserve">. </w:t>
      </w:r>
      <w:r w:rsidRPr="00B059E0">
        <w:rPr>
          <w:szCs w:val="24"/>
          <w:lang w:val="es-ES"/>
        </w:rPr>
        <w:t>Macmillan.</w:t>
      </w:r>
    </w:p>
    <w:p w14:paraId="3071F9F8" w14:textId="28BD474E" w:rsidR="00F1486F" w:rsidRPr="00B059E0" w:rsidRDefault="00F1486F" w:rsidP="00B059E0">
      <w:pPr>
        <w:spacing w:line="240" w:lineRule="auto"/>
        <w:ind w:left="720" w:hanging="720"/>
        <w:jc w:val="both"/>
        <w:rPr>
          <w:szCs w:val="24"/>
          <w:lang w:val="en-US"/>
        </w:rPr>
      </w:pPr>
      <w:r w:rsidRPr="00B059E0">
        <w:rPr>
          <w:szCs w:val="24"/>
          <w:lang w:val="es-ES"/>
        </w:rPr>
        <w:t>Tacuri-Reino, R.</w:t>
      </w:r>
      <w:r w:rsidR="00077C84" w:rsidRPr="00B059E0">
        <w:rPr>
          <w:szCs w:val="24"/>
          <w:lang w:val="es-ES"/>
        </w:rPr>
        <w:t xml:space="preserve"> </w:t>
      </w:r>
      <w:r w:rsidRPr="00B059E0">
        <w:rPr>
          <w:szCs w:val="24"/>
          <w:lang w:val="es-ES"/>
        </w:rPr>
        <w:t xml:space="preserve">D., Bernal, M., &amp; </w:t>
      </w:r>
      <w:proofErr w:type="spellStart"/>
      <w:r w:rsidRPr="00B059E0">
        <w:rPr>
          <w:szCs w:val="24"/>
          <w:lang w:val="es-ES"/>
        </w:rPr>
        <w:t>Buñay</w:t>
      </w:r>
      <w:proofErr w:type="spellEnd"/>
      <w:r w:rsidRPr="00B059E0">
        <w:rPr>
          <w:szCs w:val="24"/>
          <w:lang w:val="es-ES"/>
        </w:rPr>
        <w:t xml:space="preserve">, R. (2018). </w:t>
      </w:r>
      <w:r w:rsidRPr="00B059E0">
        <w:rPr>
          <w:szCs w:val="24"/>
        </w:rPr>
        <w:t xml:space="preserve">La relación del logro de la lectura con la lateralidad, el movimiento ocular sacádico y el color en los </w:t>
      </w:r>
      <w:r w:rsidRPr="00B059E0">
        <w:rPr>
          <w:szCs w:val="24"/>
          <w:lang w:val="es-EC"/>
        </w:rPr>
        <w:t xml:space="preserve">niños. </w:t>
      </w:r>
      <w:r w:rsidRPr="00B059E0">
        <w:rPr>
          <w:i/>
          <w:iCs/>
          <w:szCs w:val="24"/>
          <w:lang w:val="en-US"/>
        </w:rPr>
        <w:t>Maskana</w:t>
      </w:r>
      <w:r w:rsidRPr="00B059E0">
        <w:rPr>
          <w:szCs w:val="24"/>
          <w:lang w:val="en-US"/>
        </w:rPr>
        <w:t xml:space="preserve">, </w:t>
      </w:r>
      <w:r w:rsidRPr="00B059E0">
        <w:rPr>
          <w:i/>
          <w:iCs/>
          <w:szCs w:val="24"/>
          <w:lang w:val="en-US"/>
        </w:rPr>
        <w:t>9</w:t>
      </w:r>
      <w:r w:rsidRPr="00B059E0">
        <w:rPr>
          <w:szCs w:val="24"/>
          <w:lang w:val="en-US"/>
        </w:rPr>
        <w:t xml:space="preserve">(1), 13-19. </w:t>
      </w:r>
      <w:hyperlink r:id="rId37" w:history="1">
        <w:r w:rsidRPr="00B059E0">
          <w:rPr>
            <w:rStyle w:val="Hipervnculo"/>
            <w:szCs w:val="24"/>
            <w:lang w:val="en-US"/>
          </w:rPr>
          <w:t>https://doi.org/10.18537/mskn.09.01.02</w:t>
        </w:r>
      </w:hyperlink>
    </w:p>
    <w:p w14:paraId="1F8F6441" w14:textId="7355EC30" w:rsidR="00F1486F" w:rsidRPr="00B059E0" w:rsidRDefault="00F1486F" w:rsidP="00B059E0">
      <w:pPr>
        <w:spacing w:line="240" w:lineRule="auto"/>
        <w:ind w:left="720" w:hanging="720"/>
        <w:jc w:val="both"/>
        <w:rPr>
          <w:szCs w:val="24"/>
          <w:lang w:val="en-US"/>
        </w:rPr>
      </w:pPr>
      <w:r w:rsidRPr="00B059E0">
        <w:rPr>
          <w:szCs w:val="24"/>
          <w:lang w:val="en-US"/>
        </w:rPr>
        <w:t xml:space="preserve">Uccula, A., Enna, M., &amp; Mulatti, C. (2014). Colors, colored overlays, and reading skills. </w:t>
      </w:r>
      <w:r w:rsidRPr="00B059E0">
        <w:rPr>
          <w:i/>
          <w:iCs/>
          <w:szCs w:val="24"/>
          <w:lang w:val="en-US"/>
        </w:rPr>
        <w:t>Frontiers in Psychology</w:t>
      </w:r>
      <w:r w:rsidRPr="00B059E0">
        <w:rPr>
          <w:szCs w:val="24"/>
          <w:lang w:val="en-US"/>
        </w:rPr>
        <w:t xml:space="preserve">, </w:t>
      </w:r>
      <w:r w:rsidRPr="00B059E0">
        <w:rPr>
          <w:i/>
          <w:iCs/>
          <w:szCs w:val="24"/>
          <w:lang w:val="en-US"/>
        </w:rPr>
        <w:t>5</w:t>
      </w:r>
      <w:r w:rsidRPr="00B059E0">
        <w:rPr>
          <w:szCs w:val="24"/>
          <w:lang w:val="en-US"/>
        </w:rPr>
        <w:t xml:space="preserve">(1). </w:t>
      </w:r>
      <w:hyperlink r:id="rId38">
        <w:r w:rsidRPr="00B059E0">
          <w:rPr>
            <w:rStyle w:val="Hipervnculo"/>
            <w:szCs w:val="24"/>
            <w:lang w:val="en-US"/>
          </w:rPr>
          <w:t>https://doi.org/10.3389/fpsyg.2014.00833</w:t>
        </w:r>
      </w:hyperlink>
    </w:p>
    <w:p w14:paraId="5B05DE30" w14:textId="77777777" w:rsidR="00F1486F" w:rsidRPr="00B059E0" w:rsidRDefault="00F1486F" w:rsidP="00B059E0">
      <w:pPr>
        <w:spacing w:line="240" w:lineRule="auto"/>
        <w:ind w:left="708" w:hanging="708"/>
        <w:jc w:val="both"/>
        <w:rPr>
          <w:rFonts w:eastAsia="Segoe UI"/>
          <w:color w:val="333333"/>
          <w:szCs w:val="24"/>
          <w:lang w:val="pt-PT"/>
        </w:rPr>
      </w:pPr>
      <w:r w:rsidRPr="00B059E0">
        <w:rPr>
          <w:rFonts w:eastAsia="Segoe UI"/>
          <w:color w:val="333333"/>
          <w:szCs w:val="24"/>
          <w:lang w:val="pt-PT"/>
        </w:rPr>
        <w:t xml:space="preserve">Vilhena, D. A., Guimarães, M. R., Guimarães, R. Q., &amp; Pinheiro, Â. M. V. (2021). </w:t>
      </w:r>
      <w:r w:rsidRPr="00B059E0">
        <w:rPr>
          <w:rFonts w:eastAsia="Segoe UI"/>
          <w:color w:val="333333"/>
          <w:szCs w:val="24"/>
          <w:lang w:val="en-US"/>
        </w:rPr>
        <w:t xml:space="preserve">Magnocellular visual function in developmental dyslexia: deficit in frequency-doubling perimetry and ocular motor skills. </w:t>
      </w:r>
      <w:r w:rsidRPr="00B059E0">
        <w:rPr>
          <w:rFonts w:eastAsia="Segoe UI"/>
          <w:i/>
          <w:iCs/>
          <w:color w:val="333333"/>
          <w:szCs w:val="24"/>
          <w:lang w:val="pt-PT"/>
        </w:rPr>
        <w:t>Arquivos Brasileiros de Oftalmologia</w:t>
      </w:r>
      <w:r w:rsidRPr="00B059E0">
        <w:rPr>
          <w:rFonts w:eastAsia="Segoe UI"/>
          <w:color w:val="333333"/>
          <w:szCs w:val="24"/>
          <w:lang w:val="pt-PT"/>
        </w:rPr>
        <w:t xml:space="preserve">, 84, 442-448. </w:t>
      </w:r>
      <w:hyperlink r:id="rId39" w:history="1">
        <w:r w:rsidRPr="00B059E0">
          <w:rPr>
            <w:rStyle w:val="Hipervnculo"/>
            <w:rFonts w:eastAsia="Segoe UI"/>
            <w:szCs w:val="24"/>
            <w:lang w:val="pt-PT"/>
          </w:rPr>
          <w:t>https://doi.org/10.5935/0004-2749.20210069</w:t>
        </w:r>
      </w:hyperlink>
    </w:p>
    <w:p w14:paraId="0B29C9B5" w14:textId="391B9CAA" w:rsidR="00F1486F" w:rsidRPr="00B059E0" w:rsidRDefault="00F1486F" w:rsidP="00B059E0">
      <w:pPr>
        <w:spacing w:line="240" w:lineRule="auto"/>
        <w:ind w:firstLine="0"/>
        <w:jc w:val="both"/>
        <w:rPr>
          <w:szCs w:val="24"/>
          <w:lang w:val="en-US"/>
        </w:rPr>
      </w:pPr>
      <w:r w:rsidRPr="00B059E0">
        <w:rPr>
          <w:rFonts w:eastAsia="Segoe UI"/>
          <w:color w:val="333333"/>
          <w:szCs w:val="24"/>
          <w:lang w:val="pt-PT"/>
        </w:rPr>
        <w:t>Wilkins, A.</w:t>
      </w:r>
      <w:r w:rsidR="00077C84" w:rsidRPr="00B059E0">
        <w:rPr>
          <w:rFonts w:eastAsia="Segoe UI"/>
          <w:color w:val="333333"/>
          <w:szCs w:val="24"/>
          <w:lang w:val="pt-PT"/>
        </w:rPr>
        <w:t xml:space="preserve"> </w:t>
      </w:r>
      <w:r w:rsidRPr="00B059E0">
        <w:rPr>
          <w:rFonts w:eastAsia="Segoe UI"/>
          <w:color w:val="333333"/>
          <w:szCs w:val="24"/>
          <w:lang w:val="pt-PT"/>
        </w:rPr>
        <w:t xml:space="preserve">J. (2003). </w:t>
      </w:r>
      <w:r w:rsidRPr="00B059E0">
        <w:rPr>
          <w:rFonts w:eastAsia="Segoe UI"/>
          <w:i/>
          <w:iCs/>
          <w:color w:val="333333"/>
          <w:szCs w:val="24"/>
          <w:lang w:val="en-US"/>
        </w:rPr>
        <w:t xml:space="preserve">Reading </w:t>
      </w:r>
      <w:r w:rsidR="0081351D">
        <w:rPr>
          <w:rFonts w:eastAsia="Segoe UI"/>
          <w:i/>
          <w:iCs/>
          <w:color w:val="333333"/>
          <w:szCs w:val="24"/>
          <w:lang w:val="en-US"/>
        </w:rPr>
        <w:t>t</w:t>
      </w:r>
      <w:r w:rsidRPr="00B059E0">
        <w:rPr>
          <w:rFonts w:eastAsia="Segoe UI"/>
          <w:i/>
          <w:iCs/>
          <w:color w:val="333333"/>
          <w:szCs w:val="24"/>
          <w:lang w:val="en-US"/>
        </w:rPr>
        <w:t xml:space="preserve">hrough </w:t>
      </w:r>
      <w:proofErr w:type="spellStart"/>
      <w:r w:rsidR="0081351D">
        <w:rPr>
          <w:rFonts w:eastAsia="Segoe UI"/>
          <w:i/>
          <w:iCs/>
          <w:color w:val="333333"/>
          <w:szCs w:val="24"/>
          <w:lang w:val="en-US"/>
        </w:rPr>
        <w:t>c</w:t>
      </w:r>
      <w:r w:rsidRPr="00B059E0">
        <w:rPr>
          <w:rFonts w:eastAsia="Segoe UI"/>
          <w:i/>
          <w:iCs/>
          <w:color w:val="333333"/>
          <w:szCs w:val="24"/>
          <w:lang w:val="en-US"/>
        </w:rPr>
        <w:t>olour</w:t>
      </w:r>
      <w:proofErr w:type="spellEnd"/>
      <w:r w:rsidRPr="00B059E0">
        <w:rPr>
          <w:rFonts w:eastAsia="Segoe UI"/>
          <w:color w:val="333333"/>
          <w:szCs w:val="24"/>
          <w:lang w:val="en-US"/>
        </w:rPr>
        <w:t>. John Wiley.</w:t>
      </w:r>
    </w:p>
    <w:p w14:paraId="5D2BD84E" w14:textId="4141B79F" w:rsidR="00F1486F" w:rsidRPr="00B059E0" w:rsidRDefault="00F1486F" w:rsidP="00B059E0">
      <w:pPr>
        <w:spacing w:line="240" w:lineRule="auto"/>
        <w:ind w:left="708" w:hanging="708"/>
        <w:jc w:val="both"/>
        <w:rPr>
          <w:rFonts w:eastAsia="Segoe UI"/>
          <w:color w:val="333333"/>
          <w:szCs w:val="24"/>
          <w:lang w:val="en-US"/>
        </w:rPr>
      </w:pPr>
      <w:r w:rsidRPr="00B059E0">
        <w:rPr>
          <w:rFonts w:eastAsia="Segoe UI"/>
          <w:color w:val="333333"/>
          <w:szCs w:val="24"/>
          <w:lang w:val="en-US"/>
        </w:rPr>
        <w:t>Wilkins, A.</w:t>
      </w:r>
      <w:r w:rsidR="00077C84" w:rsidRPr="00B059E0">
        <w:rPr>
          <w:rFonts w:eastAsia="Segoe UI"/>
          <w:color w:val="333333"/>
          <w:szCs w:val="24"/>
          <w:lang w:val="en-US"/>
        </w:rPr>
        <w:t xml:space="preserve"> </w:t>
      </w:r>
      <w:r w:rsidRPr="00B059E0">
        <w:rPr>
          <w:rFonts w:eastAsia="Segoe UI"/>
          <w:color w:val="333333"/>
          <w:szCs w:val="24"/>
          <w:lang w:val="en-US"/>
        </w:rPr>
        <w:t>J., Allen, P.</w:t>
      </w:r>
      <w:r w:rsidR="00077C84" w:rsidRPr="00B059E0">
        <w:rPr>
          <w:rFonts w:eastAsia="Segoe UI"/>
          <w:color w:val="333333"/>
          <w:szCs w:val="24"/>
          <w:lang w:val="en-US"/>
        </w:rPr>
        <w:t xml:space="preserve"> </w:t>
      </w:r>
      <w:r w:rsidRPr="00B059E0">
        <w:rPr>
          <w:rFonts w:eastAsia="Segoe UI"/>
          <w:color w:val="333333"/>
          <w:szCs w:val="24"/>
          <w:lang w:val="en-US"/>
        </w:rPr>
        <w:t>M., Monger, L.</w:t>
      </w:r>
      <w:r w:rsidR="00077C84" w:rsidRPr="00B059E0">
        <w:rPr>
          <w:rFonts w:eastAsia="Segoe UI"/>
          <w:color w:val="333333"/>
          <w:szCs w:val="24"/>
          <w:lang w:val="en-US"/>
        </w:rPr>
        <w:t xml:space="preserve"> </w:t>
      </w:r>
      <w:r w:rsidRPr="00B059E0">
        <w:rPr>
          <w:rFonts w:eastAsia="Segoe UI"/>
          <w:color w:val="333333"/>
          <w:szCs w:val="24"/>
          <w:lang w:val="en-US"/>
        </w:rPr>
        <w:t>J., &amp; Gilchrist, J.</w:t>
      </w:r>
      <w:r w:rsidR="00077C84" w:rsidRPr="00B059E0">
        <w:rPr>
          <w:rFonts w:eastAsia="Segoe UI"/>
          <w:color w:val="333333"/>
          <w:szCs w:val="24"/>
          <w:lang w:val="en-US"/>
        </w:rPr>
        <w:t xml:space="preserve"> </w:t>
      </w:r>
      <w:r w:rsidRPr="00B059E0">
        <w:rPr>
          <w:rFonts w:eastAsia="Segoe UI"/>
          <w:color w:val="333333"/>
          <w:szCs w:val="24"/>
          <w:lang w:val="en-US"/>
        </w:rPr>
        <w:t xml:space="preserve">M. (2016). Visual stress and dyslexia for the </w:t>
      </w:r>
      <w:r w:rsidR="00E66D7B" w:rsidRPr="00B059E0">
        <w:rPr>
          <w:rFonts w:eastAsia="Segoe UI"/>
          <w:color w:val="333333"/>
          <w:szCs w:val="24"/>
          <w:lang w:val="en-US"/>
        </w:rPr>
        <w:t>practicing</w:t>
      </w:r>
      <w:r w:rsidRPr="00B059E0">
        <w:rPr>
          <w:rFonts w:eastAsia="Segoe UI"/>
          <w:color w:val="333333"/>
          <w:szCs w:val="24"/>
          <w:lang w:val="en-US"/>
        </w:rPr>
        <w:t xml:space="preserve"> optometrist. </w:t>
      </w:r>
      <w:r w:rsidRPr="00B059E0">
        <w:rPr>
          <w:rFonts w:eastAsia="Segoe UI"/>
          <w:i/>
          <w:iCs/>
          <w:color w:val="333333"/>
          <w:szCs w:val="24"/>
          <w:lang w:val="en-US"/>
        </w:rPr>
        <w:t>Optometry in Practice</w:t>
      </w:r>
      <w:r w:rsidRPr="00B059E0">
        <w:rPr>
          <w:rFonts w:eastAsia="Segoe UI"/>
          <w:color w:val="333333"/>
          <w:szCs w:val="24"/>
          <w:lang w:val="en-US"/>
        </w:rPr>
        <w:t xml:space="preserve">, </w:t>
      </w:r>
      <w:r w:rsidRPr="00B059E0">
        <w:rPr>
          <w:rFonts w:eastAsia="Segoe UI"/>
          <w:i/>
          <w:iCs/>
          <w:color w:val="333333"/>
          <w:szCs w:val="24"/>
          <w:lang w:val="en-US"/>
        </w:rPr>
        <w:t>17</w:t>
      </w:r>
      <w:r w:rsidRPr="00B059E0">
        <w:rPr>
          <w:rFonts w:eastAsia="Segoe UI"/>
          <w:color w:val="333333"/>
          <w:szCs w:val="24"/>
          <w:lang w:val="en-US"/>
        </w:rPr>
        <w:t>(2), 103-112.</w:t>
      </w:r>
    </w:p>
    <w:p w14:paraId="6B80888A" w14:textId="1B46019F" w:rsidR="00BC255B" w:rsidRPr="00B059E0" w:rsidRDefault="00F1486F" w:rsidP="00BC255B">
      <w:pPr>
        <w:spacing w:line="240" w:lineRule="auto"/>
        <w:ind w:left="708" w:hanging="708"/>
        <w:jc w:val="both"/>
        <w:rPr>
          <w:szCs w:val="24"/>
          <w:lang w:val="en-US"/>
        </w:rPr>
      </w:pPr>
      <w:r w:rsidRPr="00B059E0">
        <w:rPr>
          <w:szCs w:val="24"/>
          <w:lang w:val="en-US"/>
        </w:rPr>
        <w:lastRenderedPageBreak/>
        <w:t>Wilkins, A.</w:t>
      </w:r>
      <w:r w:rsidR="00077C84" w:rsidRPr="00B059E0">
        <w:rPr>
          <w:szCs w:val="24"/>
          <w:lang w:val="en-US"/>
        </w:rPr>
        <w:t xml:space="preserve"> </w:t>
      </w:r>
      <w:r w:rsidRPr="00B059E0">
        <w:rPr>
          <w:szCs w:val="24"/>
          <w:lang w:val="en-US"/>
        </w:rPr>
        <w:t>J., Lewis, E., Smith, F., Rowland, E., &amp; Tweedie, W. (2001). Coloured overlays and their benefit for reading.</w:t>
      </w:r>
      <w:r w:rsidR="00077C84" w:rsidRPr="00B059E0">
        <w:rPr>
          <w:szCs w:val="24"/>
          <w:lang w:val="en-US"/>
        </w:rPr>
        <w:t xml:space="preserve"> </w:t>
      </w:r>
      <w:r w:rsidRPr="00B059E0">
        <w:rPr>
          <w:i/>
          <w:iCs/>
          <w:szCs w:val="24"/>
          <w:lang w:val="en-US"/>
        </w:rPr>
        <w:t>Journal of Research in Reading</w:t>
      </w:r>
      <w:r w:rsidRPr="00B059E0">
        <w:rPr>
          <w:szCs w:val="24"/>
          <w:lang w:val="en-US"/>
        </w:rPr>
        <w:t>,</w:t>
      </w:r>
      <w:r w:rsidR="00077C84" w:rsidRPr="00B059E0">
        <w:rPr>
          <w:szCs w:val="24"/>
          <w:lang w:val="en-US"/>
        </w:rPr>
        <w:t xml:space="preserve"> </w:t>
      </w:r>
      <w:r w:rsidRPr="00B059E0">
        <w:rPr>
          <w:i/>
          <w:iCs/>
          <w:szCs w:val="24"/>
          <w:lang w:val="en-US"/>
        </w:rPr>
        <w:t>24</w:t>
      </w:r>
      <w:r w:rsidRPr="00B059E0">
        <w:rPr>
          <w:szCs w:val="24"/>
          <w:lang w:val="en-US"/>
        </w:rPr>
        <w:t>(1), 41-64.</w:t>
      </w:r>
      <w:r w:rsidR="00BC255B">
        <w:rPr>
          <w:szCs w:val="24"/>
          <w:lang w:val="en-US"/>
        </w:rPr>
        <w:t xml:space="preserve"> </w:t>
      </w:r>
      <w:hyperlink r:id="rId40" w:history="1">
        <w:r w:rsidR="00BC255B" w:rsidRPr="00D413F3">
          <w:rPr>
            <w:rStyle w:val="Hipervnculo"/>
            <w:szCs w:val="24"/>
            <w:lang w:val="en-US"/>
          </w:rPr>
          <w:t>https://doi.org/10.1111/1467-9817.00132</w:t>
        </w:r>
      </w:hyperlink>
      <w:r w:rsidR="00BC255B">
        <w:rPr>
          <w:szCs w:val="24"/>
          <w:lang w:val="en-US"/>
        </w:rPr>
        <w:t xml:space="preserve"> </w:t>
      </w:r>
    </w:p>
    <w:p w14:paraId="45304C17" w14:textId="2127A2DF" w:rsidR="00F1486F" w:rsidRPr="00B059E0" w:rsidRDefault="00F1486F" w:rsidP="00B059E0">
      <w:pPr>
        <w:spacing w:line="240" w:lineRule="auto"/>
        <w:ind w:left="708" w:hanging="708"/>
        <w:jc w:val="both"/>
        <w:rPr>
          <w:szCs w:val="24"/>
          <w:lang w:val="en-US"/>
        </w:rPr>
      </w:pPr>
      <w:r w:rsidRPr="00B059E0">
        <w:rPr>
          <w:rFonts w:eastAsia="Segoe UI"/>
          <w:szCs w:val="24"/>
          <w:lang w:val="en-US"/>
        </w:rPr>
        <w:t>Wilkins, A.</w:t>
      </w:r>
      <w:r w:rsidR="00077C84" w:rsidRPr="00B059E0">
        <w:rPr>
          <w:rFonts w:eastAsia="Segoe UI"/>
          <w:szCs w:val="24"/>
          <w:lang w:val="en-US"/>
        </w:rPr>
        <w:t xml:space="preserve"> </w:t>
      </w:r>
      <w:r w:rsidRPr="00B059E0">
        <w:rPr>
          <w:rFonts w:eastAsia="Segoe UI"/>
          <w:szCs w:val="24"/>
          <w:lang w:val="en-US"/>
        </w:rPr>
        <w:t>J., Nimmo-Smith, I.</w:t>
      </w:r>
      <w:r w:rsidR="00077C84" w:rsidRPr="00B059E0">
        <w:rPr>
          <w:rFonts w:eastAsia="Segoe UI"/>
          <w:szCs w:val="24"/>
          <w:lang w:val="en-US"/>
        </w:rPr>
        <w:t xml:space="preserve"> </w:t>
      </w:r>
      <w:r w:rsidRPr="00B059E0">
        <w:rPr>
          <w:rFonts w:eastAsia="Segoe UI"/>
          <w:szCs w:val="24"/>
          <w:lang w:val="en-US"/>
        </w:rPr>
        <w:t>A</w:t>
      </w:r>
      <w:r w:rsidR="00077C84" w:rsidRPr="00B059E0">
        <w:rPr>
          <w:rFonts w:eastAsia="Segoe UI"/>
          <w:szCs w:val="24"/>
          <w:lang w:val="en-US"/>
        </w:rPr>
        <w:t>.</w:t>
      </w:r>
      <w:r w:rsidRPr="00B059E0">
        <w:rPr>
          <w:rFonts w:eastAsia="Segoe UI"/>
          <w:szCs w:val="24"/>
          <w:lang w:val="en-US"/>
        </w:rPr>
        <w:t xml:space="preserve"> N., Tait, A., Mcmanus, C., Della</w:t>
      </w:r>
      <w:r w:rsidR="00BC255B">
        <w:rPr>
          <w:rFonts w:eastAsia="Segoe UI"/>
          <w:szCs w:val="24"/>
          <w:lang w:val="en-US"/>
        </w:rPr>
        <w:t>-</w:t>
      </w:r>
      <w:r w:rsidRPr="00B059E0">
        <w:rPr>
          <w:rFonts w:eastAsia="Segoe UI"/>
          <w:szCs w:val="24"/>
          <w:lang w:val="en-US"/>
        </w:rPr>
        <w:t>Sala, S.</w:t>
      </w:r>
      <w:r w:rsidR="00077C84" w:rsidRPr="00B059E0">
        <w:rPr>
          <w:rFonts w:eastAsia="Segoe UI"/>
          <w:szCs w:val="24"/>
          <w:lang w:val="en-US"/>
        </w:rPr>
        <w:t xml:space="preserve"> </w:t>
      </w:r>
      <w:r w:rsidRPr="00B059E0">
        <w:rPr>
          <w:rFonts w:eastAsia="Segoe UI"/>
          <w:szCs w:val="24"/>
          <w:lang w:val="en-US"/>
        </w:rPr>
        <w:t>D., Tilley, A.,</w:t>
      </w:r>
      <w:r w:rsidR="00BC255B">
        <w:rPr>
          <w:rFonts w:eastAsia="Segoe UI"/>
          <w:szCs w:val="24"/>
          <w:lang w:val="en-US"/>
        </w:rPr>
        <w:t xml:space="preserve"> Arnold, K., Barrie, M.,</w:t>
      </w:r>
      <w:r w:rsidRPr="00B059E0">
        <w:rPr>
          <w:rFonts w:eastAsia="Segoe UI"/>
          <w:szCs w:val="24"/>
          <w:lang w:val="en-US"/>
        </w:rPr>
        <w:t xml:space="preserve"> &amp; Scott, S. (1984). A neurological basis for visual discomfort.</w:t>
      </w:r>
      <w:r w:rsidR="00077C84" w:rsidRPr="00B059E0">
        <w:rPr>
          <w:rFonts w:eastAsia="Segoe UI"/>
          <w:szCs w:val="24"/>
          <w:lang w:val="en-US"/>
        </w:rPr>
        <w:t xml:space="preserve"> </w:t>
      </w:r>
      <w:r w:rsidRPr="00B059E0">
        <w:rPr>
          <w:rFonts w:eastAsia="Segoe UI"/>
          <w:i/>
          <w:iCs/>
          <w:szCs w:val="24"/>
          <w:lang w:val="en-US"/>
        </w:rPr>
        <w:t>Brain</w:t>
      </w:r>
      <w:r w:rsidRPr="00B059E0">
        <w:rPr>
          <w:rFonts w:eastAsia="Segoe UI"/>
          <w:szCs w:val="24"/>
          <w:lang w:val="en-US"/>
        </w:rPr>
        <w:t>,</w:t>
      </w:r>
      <w:r w:rsidR="00077C84" w:rsidRPr="00B059E0">
        <w:rPr>
          <w:rFonts w:eastAsia="Segoe UI"/>
          <w:szCs w:val="24"/>
          <w:lang w:val="en-US"/>
        </w:rPr>
        <w:t xml:space="preserve"> </w:t>
      </w:r>
      <w:r w:rsidRPr="00B059E0">
        <w:rPr>
          <w:rFonts w:eastAsia="Segoe UI"/>
          <w:i/>
          <w:iCs/>
          <w:szCs w:val="24"/>
          <w:lang w:val="en-US"/>
        </w:rPr>
        <w:t>107</w:t>
      </w:r>
      <w:r w:rsidRPr="00B059E0">
        <w:rPr>
          <w:rFonts w:eastAsia="Segoe UI"/>
          <w:szCs w:val="24"/>
          <w:lang w:val="en-US"/>
        </w:rPr>
        <w:t>(4), 989-1017.</w:t>
      </w:r>
      <w:r w:rsidR="00BC255B">
        <w:rPr>
          <w:rFonts w:eastAsia="Segoe UI"/>
          <w:szCs w:val="24"/>
          <w:lang w:val="en-US"/>
        </w:rPr>
        <w:t xml:space="preserve"> </w:t>
      </w:r>
      <w:hyperlink r:id="rId41" w:history="1">
        <w:r w:rsidR="00BC255B" w:rsidRPr="00D413F3">
          <w:rPr>
            <w:rStyle w:val="Hipervnculo"/>
            <w:rFonts w:eastAsia="Segoe UI"/>
            <w:szCs w:val="24"/>
            <w:lang w:val="en-US"/>
          </w:rPr>
          <w:t>https://doi.org/10.1093/brain/107.4.989</w:t>
        </w:r>
      </w:hyperlink>
      <w:r w:rsidR="00BC255B">
        <w:rPr>
          <w:rFonts w:eastAsia="Segoe UI"/>
          <w:szCs w:val="24"/>
          <w:lang w:val="en-US"/>
        </w:rPr>
        <w:t xml:space="preserve"> </w:t>
      </w:r>
    </w:p>
    <w:p w14:paraId="068EC899" w14:textId="4CA7DEB8" w:rsidR="009A2F48" w:rsidRPr="00DA2A14" w:rsidRDefault="00F1486F" w:rsidP="00A525CF">
      <w:pPr>
        <w:spacing w:line="240" w:lineRule="auto"/>
        <w:ind w:left="708" w:hanging="708"/>
        <w:jc w:val="both"/>
        <w:rPr>
          <w:rFonts w:eastAsia="Segoe UI"/>
          <w:color w:val="333333"/>
          <w:szCs w:val="24"/>
          <w:lang w:val="en-US"/>
        </w:rPr>
      </w:pPr>
      <w:r w:rsidRPr="00B059E0">
        <w:rPr>
          <w:rFonts w:eastAsia="Segoe UI"/>
          <w:szCs w:val="24"/>
          <w:lang w:val="en-US"/>
        </w:rPr>
        <w:t>Wilkins, A.</w:t>
      </w:r>
      <w:r w:rsidR="00077C84" w:rsidRPr="00B059E0">
        <w:rPr>
          <w:rFonts w:eastAsia="Segoe UI"/>
          <w:szCs w:val="24"/>
          <w:lang w:val="en-US"/>
        </w:rPr>
        <w:t xml:space="preserve"> </w:t>
      </w:r>
      <w:r w:rsidRPr="00B059E0">
        <w:rPr>
          <w:rFonts w:eastAsia="Segoe UI"/>
          <w:szCs w:val="24"/>
          <w:lang w:val="en-US"/>
        </w:rPr>
        <w:t xml:space="preserve">J., Sihra, N., &amp; Myers, A. (2004) Increasing reading speed by using colors: Issues concerning reliability and specificity, and their theoretical and practical implications. </w:t>
      </w:r>
      <w:r w:rsidRPr="00DA2A14">
        <w:rPr>
          <w:rFonts w:eastAsia="Segoe UI"/>
          <w:i/>
          <w:iCs/>
          <w:szCs w:val="24"/>
          <w:lang w:val="en-US"/>
        </w:rPr>
        <w:t>Perception</w:t>
      </w:r>
      <w:r w:rsidRPr="00DA2A14">
        <w:rPr>
          <w:rFonts w:eastAsia="Segoe UI"/>
          <w:szCs w:val="24"/>
          <w:lang w:val="en-US"/>
        </w:rPr>
        <w:t xml:space="preserve">, </w:t>
      </w:r>
      <w:r w:rsidRPr="00DA2A14">
        <w:rPr>
          <w:rFonts w:eastAsia="Segoe UI"/>
          <w:i/>
          <w:iCs/>
          <w:szCs w:val="24"/>
          <w:lang w:val="en-US"/>
        </w:rPr>
        <w:t>34</w:t>
      </w:r>
      <w:r w:rsidRPr="00DA2A14">
        <w:rPr>
          <w:rFonts w:eastAsia="Segoe UI"/>
          <w:szCs w:val="24"/>
          <w:lang w:val="en-US"/>
        </w:rPr>
        <w:t>(1),109-120</w:t>
      </w:r>
      <w:r w:rsidRPr="00DA2A14">
        <w:rPr>
          <w:rFonts w:eastAsia="Segoe UI"/>
          <w:color w:val="333333"/>
          <w:szCs w:val="24"/>
          <w:lang w:val="en-US"/>
        </w:rPr>
        <w:t xml:space="preserve">. </w:t>
      </w:r>
      <w:hyperlink r:id="rId42" w:history="1">
        <w:r w:rsidRPr="00DA2A14">
          <w:rPr>
            <w:rStyle w:val="Hipervnculo"/>
            <w:rFonts w:eastAsia="Segoe UI"/>
            <w:szCs w:val="24"/>
            <w:lang w:val="en-US"/>
          </w:rPr>
          <w:t>https://doi.org/10.1068/p5045</w:t>
        </w:r>
      </w:hyperlink>
      <w:r w:rsidRPr="00DA2A14">
        <w:rPr>
          <w:rFonts w:eastAsia="Segoe UI"/>
          <w:color w:val="333333"/>
          <w:szCs w:val="24"/>
          <w:lang w:val="en-US"/>
        </w:rPr>
        <w:t xml:space="preserve"> </w:t>
      </w:r>
    </w:p>
    <w:p w14:paraId="64BA653D" w14:textId="7C320366" w:rsidR="0081351D" w:rsidRPr="00B059E0" w:rsidRDefault="0081351D" w:rsidP="0081351D">
      <w:pPr>
        <w:spacing w:line="240" w:lineRule="auto"/>
        <w:ind w:left="720" w:hanging="720"/>
        <w:jc w:val="both"/>
        <w:rPr>
          <w:szCs w:val="24"/>
          <w:lang w:val="es-ES"/>
        </w:rPr>
      </w:pPr>
      <w:r w:rsidRPr="0081351D">
        <w:rPr>
          <w:szCs w:val="24"/>
          <w:lang w:val="en-US"/>
        </w:rPr>
        <w:t>World Medical Association</w:t>
      </w:r>
      <w:r w:rsidRPr="00B059E0">
        <w:rPr>
          <w:szCs w:val="24"/>
          <w:lang w:val="en-US"/>
        </w:rPr>
        <w:t xml:space="preserve"> (2008, October). </w:t>
      </w:r>
      <w:r w:rsidRPr="00881D3D">
        <w:rPr>
          <w:i/>
          <w:iCs/>
          <w:szCs w:val="24"/>
          <w:lang w:val="en-US"/>
        </w:rPr>
        <w:t>7th Revision of the Declaration of Helsinki: Ethical principles for medical research involving human subjects</w:t>
      </w:r>
      <w:r w:rsidRPr="00B059E0">
        <w:rPr>
          <w:szCs w:val="24"/>
          <w:lang w:val="en-US"/>
        </w:rPr>
        <w:t xml:space="preserve">. 59th World Medical Association (WMA) General Assembly, Seoul, South Korea. </w:t>
      </w:r>
      <w:hyperlink r:id="rId43" w:history="1">
        <w:r w:rsidRPr="00B059E0">
          <w:rPr>
            <w:rStyle w:val="Hipervnculo"/>
            <w:szCs w:val="24"/>
            <w:lang w:val="es-ES"/>
          </w:rPr>
          <w:t xml:space="preserve">http://www.wma.net/en/30publications/10poli </w:t>
        </w:r>
        <w:proofErr w:type="spellStart"/>
        <w:r w:rsidRPr="00B059E0">
          <w:rPr>
            <w:rStyle w:val="Hipervnculo"/>
            <w:szCs w:val="24"/>
            <w:lang w:val="es-ES"/>
          </w:rPr>
          <w:t>cies</w:t>
        </w:r>
        <w:proofErr w:type="spellEnd"/>
        <w:r w:rsidRPr="00B059E0">
          <w:rPr>
            <w:rStyle w:val="Hipervnculo"/>
            <w:szCs w:val="24"/>
            <w:lang w:val="es-ES"/>
          </w:rPr>
          <w:t>/b3/17c.pdf</w:t>
        </w:r>
      </w:hyperlink>
    </w:p>
    <w:p w14:paraId="3845B195" w14:textId="77777777" w:rsidR="0081351D" w:rsidRPr="00A525CF" w:rsidRDefault="0081351D" w:rsidP="00A525CF">
      <w:pPr>
        <w:spacing w:line="240" w:lineRule="auto"/>
        <w:ind w:left="708" w:hanging="708"/>
        <w:jc w:val="both"/>
        <w:rPr>
          <w:rFonts w:eastAsia="Segoe UI"/>
          <w:color w:val="333333"/>
          <w:szCs w:val="24"/>
          <w:lang w:val="es-EC"/>
        </w:rPr>
      </w:pPr>
    </w:p>
    <w:sectPr w:rsidR="0081351D" w:rsidRPr="00A525CF" w:rsidSect="00EC0429">
      <w:footerReference w:type="even" r:id="rId44"/>
      <w:footerReference w:type="default" r:id="rId45"/>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219C" w14:textId="77777777" w:rsidR="00B636C8" w:rsidRDefault="00B636C8">
      <w:pPr>
        <w:spacing w:line="240" w:lineRule="auto"/>
      </w:pPr>
      <w:r>
        <w:separator/>
      </w:r>
    </w:p>
  </w:endnote>
  <w:endnote w:type="continuationSeparator" w:id="0">
    <w:p w14:paraId="37677DD7" w14:textId="77777777" w:rsidR="00B636C8" w:rsidRDefault="00B636C8">
      <w:pPr>
        <w:spacing w:line="240" w:lineRule="auto"/>
      </w:pPr>
      <w:r>
        <w:continuationSeparator/>
      </w:r>
    </w:p>
  </w:endnote>
  <w:endnote w:type="continuationNotice" w:id="1">
    <w:p w14:paraId="51E052C8" w14:textId="77777777" w:rsidR="00B636C8" w:rsidRDefault="00B636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CBED" w14:textId="3C18356D" w:rsidR="004B3CCD" w:rsidRDefault="001C1939" w:rsidP="00B721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D2DE1">
      <w:rPr>
        <w:rStyle w:val="Nmerodepgina"/>
        <w:noProof/>
      </w:rPr>
      <w:t>17</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20321914"/>
      <w:docPartObj>
        <w:docPartGallery w:val="Page Numbers (Bottom of Page)"/>
        <w:docPartUnique/>
      </w:docPartObj>
    </w:sdtPr>
    <w:sdtContent>
      <w:p w14:paraId="413F880B" w14:textId="484D7B75" w:rsidR="004B3CCD" w:rsidRDefault="001C1939" w:rsidP="00B721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40C0A">
          <w:rPr>
            <w:rStyle w:val="Nmerodepgina"/>
            <w:noProof/>
          </w:rPr>
          <w:t>2</w:t>
        </w:r>
        <w:r>
          <w:rPr>
            <w:rStyle w:val="Nmerodepgina"/>
          </w:rPr>
          <w:fldChar w:fldCharType="end"/>
        </w:r>
      </w:p>
    </w:sdtContent>
  </w:sdt>
  <w:p w14:paraId="3D52EE48" w14:textId="77777777" w:rsidR="004B3CCD" w:rsidRDefault="004B3CCD" w:rsidP="004B3CC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CE18" w14:textId="77777777" w:rsidR="00B636C8" w:rsidRDefault="00B636C8">
      <w:pPr>
        <w:spacing w:line="240" w:lineRule="auto"/>
      </w:pPr>
      <w:r>
        <w:separator/>
      </w:r>
    </w:p>
  </w:footnote>
  <w:footnote w:type="continuationSeparator" w:id="0">
    <w:p w14:paraId="63461D12" w14:textId="77777777" w:rsidR="00B636C8" w:rsidRDefault="00B636C8">
      <w:pPr>
        <w:spacing w:line="240" w:lineRule="auto"/>
      </w:pPr>
      <w:r>
        <w:continuationSeparator/>
      </w:r>
    </w:p>
  </w:footnote>
  <w:footnote w:type="continuationNotice" w:id="1">
    <w:p w14:paraId="1AB6711B" w14:textId="77777777" w:rsidR="00B636C8" w:rsidRDefault="00B636C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B6B"/>
    <w:multiLevelType w:val="hybridMultilevel"/>
    <w:tmpl w:val="D3DE6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8956CE"/>
    <w:multiLevelType w:val="hybridMultilevel"/>
    <w:tmpl w:val="FFFFFFFF"/>
    <w:lvl w:ilvl="0" w:tplc="ECE0CE5E">
      <w:start w:val="1"/>
      <w:numFmt w:val="bullet"/>
      <w:lvlText w:val=""/>
      <w:lvlJc w:val="left"/>
      <w:pPr>
        <w:ind w:left="720" w:hanging="360"/>
      </w:pPr>
      <w:rPr>
        <w:rFonts w:ascii="Symbol" w:hAnsi="Symbol" w:hint="default"/>
      </w:rPr>
    </w:lvl>
    <w:lvl w:ilvl="1" w:tplc="AA76EC9C">
      <w:start w:val="1"/>
      <w:numFmt w:val="bullet"/>
      <w:lvlText w:val="o"/>
      <w:lvlJc w:val="left"/>
      <w:pPr>
        <w:ind w:left="1440" w:hanging="360"/>
      </w:pPr>
      <w:rPr>
        <w:rFonts w:ascii="Courier New" w:hAnsi="Courier New" w:hint="default"/>
      </w:rPr>
    </w:lvl>
    <w:lvl w:ilvl="2" w:tplc="CB0C221E">
      <w:start w:val="1"/>
      <w:numFmt w:val="bullet"/>
      <w:lvlText w:val=""/>
      <w:lvlJc w:val="left"/>
      <w:pPr>
        <w:ind w:left="2160" w:hanging="360"/>
      </w:pPr>
      <w:rPr>
        <w:rFonts w:ascii="Wingdings" w:hAnsi="Wingdings" w:hint="default"/>
      </w:rPr>
    </w:lvl>
    <w:lvl w:ilvl="3" w:tplc="47D651C4">
      <w:start w:val="1"/>
      <w:numFmt w:val="bullet"/>
      <w:lvlText w:val=""/>
      <w:lvlJc w:val="left"/>
      <w:pPr>
        <w:ind w:left="2880" w:hanging="360"/>
      </w:pPr>
      <w:rPr>
        <w:rFonts w:ascii="Symbol" w:hAnsi="Symbol" w:hint="default"/>
      </w:rPr>
    </w:lvl>
    <w:lvl w:ilvl="4" w:tplc="3880E138">
      <w:start w:val="1"/>
      <w:numFmt w:val="bullet"/>
      <w:lvlText w:val="o"/>
      <w:lvlJc w:val="left"/>
      <w:pPr>
        <w:ind w:left="3600" w:hanging="360"/>
      </w:pPr>
      <w:rPr>
        <w:rFonts w:ascii="Courier New" w:hAnsi="Courier New" w:hint="default"/>
      </w:rPr>
    </w:lvl>
    <w:lvl w:ilvl="5" w:tplc="C57E1410">
      <w:start w:val="1"/>
      <w:numFmt w:val="bullet"/>
      <w:lvlText w:val=""/>
      <w:lvlJc w:val="left"/>
      <w:pPr>
        <w:ind w:left="4320" w:hanging="360"/>
      </w:pPr>
      <w:rPr>
        <w:rFonts w:ascii="Wingdings" w:hAnsi="Wingdings" w:hint="default"/>
      </w:rPr>
    </w:lvl>
    <w:lvl w:ilvl="6" w:tplc="02FCE6E6">
      <w:start w:val="1"/>
      <w:numFmt w:val="bullet"/>
      <w:lvlText w:val=""/>
      <w:lvlJc w:val="left"/>
      <w:pPr>
        <w:ind w:left="5040" w:hanging="360"/>
      </w:pPr>
      <w:rPr>
        <w:rFonts w:ascii="Symbol" w:hAnsi="Symbol" w:hint="default"/>
      </w:rPr>
    </w:lvl>
    <w:lvl w:ilvl="7" w:tplc="B5C61CBC">
      <w:start w:val="1"/>
      <w:numFmt w:val="bullet"/>
      <w:lvlText w:val="o"/>
      <w:lvlJc w:val="left"/>
      <w:pPr>
        <w:ind w:left="5760" w:hanging="360"/>
      </w:pPr>
      <w:rPr>
        <w:rFonts w:ascii="Courier New" w:hAnsi="Courier New" w:hint="default"/>
      </w:rPr>
    </w:lvl>
    <w:lvl w:ilvl="8" w:tplc="C8E0E1F4">
      <w:start w:val="1"/>
      <w:numFmt w:val="bullet"/>
      <w:lvlText w:val=""/>
      <w:lvlJc w:val="left"/>
      <w:pPr>
        <w:ind w:left="6480" w:hanging="360"/>
      </w:pPr>
      <w:rPr>
        <w:rFonts w:ascii="Wingdings" w:hAnsi="Wingdings" w:hint="default"/>
      </w:rPr>
    </w:lvl>
  </w:abstractNum>
  <w:abstractNum w:abstractNumId="2" w15:restartNumberingAfterBreak="0">
    <w:nsid w:val="197B394B"/>
    <w:multiLevelType w:val="hybridMultilevel"/>
    <w:tmpl w:val="646C08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CCB5316"/>
    <w:multiLevelType w:val="hybridMultilevel"/>
    <w:tmpl w:val="241CA1EE"/>
    <w:lvl w:ilvl="0" w:tplc="FFFFFFFF">
      <w:start w:val="1"/>
      <w:numFmt w:val="bullet"/>
      <w:lvlText w:val="−"/>
      <w:lvlJc w:val="left"/>
      <w:pPr>
        <w:ind w:left="1800" w:hanging="360"/>
      </w:pPr>
      <w:rPr>
        <w:rFonts w:ascii="Times New Roman" w:hAnsi="Times New Roman" w:cs="Times New Roman" w:hint="default"/>
      </w:rPr>
    </w:lvl>
    <w:lvl w:ilvl="1" w:tplc="919A285E">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7A2C46"/>
    <w:multiLevelType w:val="hybridMultilevel"/>
    <w:tmpl w:val="91A62210"/>
    <w:lvl w:ilvl="0" w:tplc="0C0A0017">
      <w:start w:val="1"/>
      <w:numFmt w:val="lowerLetter"/>
      <w:lvlText w:val="%1)"/>
      <w:lvlJc w:val="left"/>
      <w:pPr>
        <w:ind w:left="1440" w:hanging="360"/>
      </w:pPr>
      <w:rPr>
        <w:rFonts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26F77B06"/>
    <w:multiLevelType w:val="hybridMultilevel"/>
    <w:tmpl w:val="B0B0CF3C"/>
    <w:lvl w:ilvl="0" w:tplc="040A0003">
      <w:start w:val="1"/>
      <w:numFmt w:val="bullet"/>
      <w:lvlText w:val="o"/>
      <w:lvlJc w:val="left"/>
      <w:pPr>
        <w:ind w:left="1429" w:hanging="360"/>
      </w:pPr>
      <w:rPr>
        <w:rFonts w:ascii="Courier New" w:hAnsi="Courier New" w:cs="Courier New"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6" w15:restartNumberingAfterBreak="0">
    <w:nsid w:val="29A2638C"/>
    <w:multiLevelType w:val="hybridMultilevel"/>
    <w:tmpl w:val="6AC0D086"/>
    <w:lvl w:ilvl="0" w:tplc="040A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2CFD1DDD"/>
    <w:multiLevelType w:val="hybridMultilevel"/>
    <w:tmpl w:val="33D86DD2"/>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512D66"/>
    <w:multiLevelType w:val="hybridMultilevel"/>
    <w:tmpl w:val="AD4E112A"/>
    <w:lvl w:ilvl="0" w:tplc="919A285E">
      <w:start w:val="1"/>
      <w:numFmt w:val="bullet"/>
      <w:lvlText w:val="−"/>
      <w:lvlJc w:val="left"/>
      <w:pPr>
        <w:ind w:left="180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2F7576"/>
    <w:multiLevelType w:val="hybridMultilevel"/>
    <w:tmpl w:val="C3D6864A"/>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919A285E">
      <w:start w:val="1"/>
      <w:numFmt w:val="bullet"/>
      <w:lvlText w:val="−"/>
      <w:lvlJc w:val="left"/>
      <w:pPr>
        <w:ind w:left="1440" w:hanging="360"/>
      </w:pPr>
      <w:rPr>
        <w:rFonts w:ascii="Times New Roman" w:hAnsi="Times New Roman" w:cs="Times New Roman"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0936667"/>
    <w:multiLevelType w:val="hybridMultilevel"/>
    <w:tmpl w:val="70B8E598"/>
    <w:lvl w:ilvl="0" w:tplc="A41C4C90">
      <w:start w:val="1"/>
      <w:numFmt w:val="bullet"/>
      <w:lvlText w:val=""/>
      <w:lvlJc w:val="left"/>
      <w:pPr>
        <w:ind w:left="720" w:hanging="360"/>
      </w:pPr>
      <w:rPr>
        <w:rFonts w:ascii="Symbol" w:hAnsi="Symbol" w:hint="default"/>
      </w:rPr>
    </w:lvl>
    <w:lvl w:ilvl="1" w:tplc="9072D428">
      <w:start w:val="1"/>
      <w:numFmt w:val="bullet"/>
      <w:lvlText w:val="o"/>
      <w:lvlJc w:val="left"/>
      <w:pPr>
        <w:ind w:left="1440" w:hanging="360"/>
      </w:pPr>
      <w:rPr>
        <w:rFonts w:ascii="Courier New" w:hAnsi="Courier New" w:hint="default"/>
      </w:rPr>
    </w:lvl>
    <w:lvl w:ilvl="2" w:tplc="BDA4C1AC">
      <w:start w:val="1"/>
      <w:numFmt w:val="bullet"/>
      <w:lvlText w:val=""/>
      <w:lvlJc w:val="left"/>
      <w:pPr>
        <w:ind w:left="2160" w:hanging="360"/>
      </w:pPr>
      <w:rPr>
        <w:rFonts w:ascii="Wingdings" w:hAnsi="Wingdings" w:hint="default"/>
      </w:rPr>
    </w:lvl>
    <w:lvl w:ilvl="3" w:tplc="545220E2">
      <w:start w:val="1"/>
      <w:numFmt w:val="bullet"/>
      <w:lvlText w:val=""/>
      <w:lvlJc w:val="left"/>
      <w:pPr>
        <w:ind w:left="2880" w:hanging="360"/>
      </w:pPr>
      <w:rPr>
        <w:rFonts w:ascii="Symbol" w:hAnsi="Symbol" w:hint="default"/>
      </w:rPr>
    </w:lvl>
    <w:lvl w:ilvl="4" w:tplc="E8327AD0">
      <w:start w:val="1"/>
      <w:numFmt w:val="bullet"/>
      <w:lvlText w:val="o"/>
      <w:lvlJc w:val="left"/>
      <w:pPr>
        <w:ind w:left="3600" w:hanging="360"/>
      </w:pPr>
      <w:rPr>
        <w:rFonts w:ascii="Courier New" w:hAnsi="Courier New" w:hint="default"/>
      </w:rPr>
    </w:lvl>
    <w:lvl w:ilvl="5" w:tplc="EE84F9B6">
      <w:start w:val="1"/>
      <w:numFmt w:val="bullet"/>
      <w:lvlText w:val=""/>
      <w:lvlJc w:val="left"/>
      <w:pPr>
        <w:ind w:left="4320" w:hanging="360"/>
      </w:pPr>
      <w:rPr>
        <w:rFonts w:ascii="Wingdings" w:hAnsi="Wingdings" w:hint="default"/>
      </w:rPr>
    </w:lvl>
    <w:lvl w:ilvl="6" w:tplc="725CB6A6">
      <w:start w:val="1"/>
      <w:numFmt w:val="bullet"/>
      <w:lvlText w:val=""/>
      <w:lvlJc w:val="left"/>
      <w:pPr>
        <w:ind w:left="5040" w:hanging="360"/>
      </w:pPr>
      <w:rPr>
        <w:rFonts w:ascii="Symbol" w:hAnsi="Symbol" w:hint="default"/>
      </w:rPr>
    </w:lvl>
    <w:lvl w:ilvl="7" w:tplc="B4F01360">
      <w:start w:val="1"/>
      <w:numFmt w:val="bullet"/>
      <w:lvlText w:val="o"/>
      <w:lvlJc w:val="left"/>
      <w:pPr>
        <w:ind w:left="5760" w:hanging="360"/>
      </w:pPr>
      <w:rPr>
        <w:rFonts w:ascii="Courier New" w:hAnsi="Courier New" w:hint="default"/>
      </w:rPr>
    </w:lvl>
    <w:lvl w:ilvl="8" w:tplc="921E2AEA">
      <w:start w:val="1"/>
      <w:numFmt w:val="bullet"/>
      <w:lvlText w:val=""/>
      <w:lvlJc w:val="left"/>
      <w:pPr>
        <w:ind w:left="6480" w:hanging="360"/>
      </w:pPr>
      <w:rPr>
        <w:rFonts w:ascii="Wingdings" w:hAnsi="Wingdings" w:hint="default"/>
      </w:rPr>
    </w:lvl>
  </w:abstractNum>
  <w:abstractNum w:abstractNumId="11" w15:restartNumberingAfterBreak="0">
    <w:nsid w:val="582D01AE"/>
    <w:multiLevelType w:val="hybridMultilevel"/>
    <w:tmpl w:val="54F4A372"/>
    <w:lvl w:ilvl="0" w:tplc="D4204C00">
      <w:start w:val="1"/>
      <w:numFmt w:val="bullet"/>
      <w:lvlText w:val=""/>
      <w:lvlJc w:val="left"/>
      <w:pPr>
        <w:ind w:left="720" w:hanging="360"/>
      </w:pPr>
      <w:rPr>
        <w:rFonts w:ascii="Symbol" w:hAnsi="Symbol" w:hint="default"/>
      </w:rPr>
    </w:lvl>
    <w:lvl w:ilvl="1" w:tplc="FB22DC56">
      <w:start w:val="1"/>
      <w:numFmt w:val="bullet"/>
      <w:lvlText w:val="o"/>
      <w:lvlJc w:val="left"/>
      <w:pPr>
        <w:ind w:left="1440" w:hanging="360"/>
      </w:pPr>
      <w:rPr>
        <w:rFonts w:ascii="Courier New" w:hAnsi="Courier New" w:hint="default"/>
      </w:rPr>
    </w:lvl>
    <w:lvl w:ilvl="2" w:tplc="7C52F35C">
      <w:start w:val="1"/>
      <w:numFmt w:val="bullet"/>
      <w:lvlText w:val=""/>
      <w:lvlJc w:val="left"/>
      <w:pPr>
        <w:ind w:left="2160" w:hanging="360"/>
      </w:pPr>
      <w:rPr>
        <w:rFonts w:ascii="Wingdings" w:hAnsi="Wingdings" w:hint="default"/>
      </w:rPr>
    </w:lvl>
    <w:lvl w:ilvl="3" w:tplc="C17C22D2">
      <w:start w:val="1"/>
      <w:numFmt w:val="bullet"/>
      <w:lvlText w:val=""/>
      <w:lvlJc w:val="left"/>
      <w:pPr>
        <w:ind w:left="2880" w:hanging="360"/>
      </w:pPr>
      <w:rPr>
        <w:rFonts w:ascii="Symbol" w:hAnsi="Symbol" w:hint="default"/>
      </w:rPr>
    </w:lvl>
    <w:lvl w:ilvl="4" w:tplc="2D14DFE2">
      <w:start w:val="1"/>
      <w:numFmt w:val="bullet"/>
      <w:lvlText w:val="o"/>
      <w:lvlJc w:val="left"/>
      <w:pPr>
        <w:ind w:left="3600" w:hanging="360"/>
      </w:pPr>
      <w:rPr>
        <w:rFonts w:ascii="Courier New" w:hAnsi="Courier New" w:hint="default"/>
      </w:rPr>
    </w:lvl>
    <w:lvl w:ilvl="5" w:tplc="9440DF30">
      <w:start w:val="1"/>
      <w:numFmt w:val="bullet"/>
      <w:lvlText w:val=""/>
      <w:lvlJc w:val="left"/>
      <w:pPr>
        <w:ind w:left="4320" w:hanging="360"/>
      </w:pPr>
      <w:rPr>
        <w:rFonts w:ascii="Wingdings" w:hAnsi="Wingdings" w:hint="default"/>
      </w:rPr>
    </w:lvl>
    <w:lvl w:ilvl="6" w:tplc="DA3819DE">
      <w:start w:val="1"/>
      <w:numFmt w:val="bullet"/>
      <w:lvlText w:val=""/>
      <w:lvlJc w:val="left"/>
      <w:pPr>
        <w:ind w:left="5040" w:hanging="360"/>
      </w:pPr>
      <w:rPr>
        <w:rFonts w:ascii="Symbol" w:hAnsi="Symbol" w:hint="default"/>
      </w:rPr>
    </w:lvl>
    <w:lvl w:ilvl="7" w:tplc="ADF4DEA6">
      <w:start w:val="1"/>
      <w:numFmt w:val="bullet"/>
      <w:lvlText w:val="o"/>
      <w:lvlJc w:val="left"/>
      <w:pPr>
        <w:ind w:left="5760" w:hanging="360"/>
      </w:pPr>
      <w:rPr>
        <w:rFonts w:ascii="Courier New" w:hAnsi="Courier New" w:hint="default"/>
      </w:rPr>
    </w:lvl>
    <w:lvl w:ilvl="8" w:tplc="2F763FB8">
      <w:start w:val="1"/>
      <w:numFmt w:val="bullet"/>
      <w:lvlText w:val=""/>
      <w:lvlJc w:val="left"/>
      <w:pPr>
        <w:ind w:left="6480" w:hanging="360"/>
      </w:pPr>
      <w:rPr>
        <w:rFonts w:ascii="Wingdings" w:hAnsi="Wingdings" w:hint="default"/>
      </w:rPr>
    </w:lvl>
  </w:abstractNum>
  <w:abstractNum w:abstractNumId="12" w15:restartNumberingAfterBreak="0">
    <w:nsid w:val="6A812925"/>
    <w:multiLevelType w:val="hybridMultilevel"/>
    <w:tmpl w:val="FFFFFFFF"/>
    <w:lvl w:ilvl="0" w:tplc="607250EA">
      <w:start w:val="1"/>
      <w:numFmt w:val="bullet"/>
      <w:lvlText w:val=""/>
      <w:lvlJc w:val="left"/>
      <w:pPr>
        <w:ind w:left="720" w:hanging="360"/>
      </w:pPr>
      <w:rPr>
        <w:rFonts w:ascii="Symbol" w:hAnsi="Symbol" w:hint="default"/>
      </w:rPr>
    </w:lvl>
    <w:lvl w:ilvl="1" w:tplc="8FB0DF60">
      <w:start w:val="1"/>
      <w:numFmt w:val="bullet"/>
      <w:lvlText w:val="o"/>
      <w:lvlJc w:val="left"/>
      <w:pPr>
        <w:ind w:left="1440" w:hanging="360"/>
      </w:pPr>
      <w:rPr>
        <w:rFonts w:ascii="Courier New" w:hAnsi="Courier New" w:hint="default"/>
      </w:rPr>
    </w:lvl>
    <w:lvl w:ilvl="2" w:tplc="FCD4ED84">
      <w:start w:val="1"/>
      <w:numFmt w:val="bullet"/>
      <w:lvlText w:val=""/>
      <w:lvlJc w:val="left"/>
      <w:pPr>
        <w:ind w:left="2160" w:hanging="360"/>
      </w:pPr>
      <w:rPr>
        <w:rFonts w:ascii="Wingdings" w:hAnsi="Wingdings" w:hint="default"/>
      </w:rPr>
    </w:lvl>
    <w:lvl w:ilvl="3" w:tplc="6EF2978C">
      <w:start w:val="1"/>
      <w:numFmt w:val="bullet"/>
      <w:lvlText w:val=""/>
      <w:lvlJc w:val="left"/>
      <w:pPr>
        <w:ind w:left="2880" w:hanging="360"/>
      </w:pPr>
      <w:rPr>
        <w:rFonts w:ascii="Symbol" w:hAnsi="Symbol" w:hint="default"/>
      </w:rPr>
    </w:lvl>
    <w:lvl w:ilvl="4" w:tplc="6DE21696">
      <w:start w:val="1"/>
      <w:numFmt w:val="bullet"/>
      <w:lvlText w:val="o"/>
      <w:lvlJc w:val="left"/>
      <w:pPr>
        <w:ind w:left="3600" w:hanging="360"/>
      </w:pPr>
      <w:rPr>
        <w:rFonts w:ascii="Courier New" w:hAnsi="Courier New" w:hint="default"/>
      </w:rPr>
    </w:lvl>
    <w:lvl w:ilvl="5" w:tplc="E780CCC8">
      <w:start w:val="1"/>
      <w:numFmt w:val="bullet"/>
      <w:lvlText w:val=""/>
      <w:lvlJc w:val="left"/>
      <w:pPr>
        <w:ind w:left="4320" w:hanging="360"/>
      </w:pPr>
      <w:rPr>
        <w:rFonts w:ascii="Wingdings" w:hAnsi="Wingdings" w:hint="default"/>
      </w:rPr>
    </w:lvl>
    <w:lvl w:ilvl="6" w:tplc="BF827CF2">
      <w:start w:val="1"/>
      <w:numFmt w:val="bullet"/>
      <w:lvlText w:val=""/>
      <w:lvlJc w:val="left"/>
      <w:pPr>
        <w:ind w:left="5040" w:hanging="360"/>
      </w:pPr>
      <w:rPr>
        <w:rFonts w:ascii="Symbol" w:hAnsi="Symbol" w:hint="default"/>
      </w:rPr>
    </w:lvl>
    <w:lvl w:ilvl="7" w:tplc="F7F637AA">
      <w:start w:val="1"/>
      <w:numFmt w:val="bullet"/>
      <w:lvlText w:val="o"/>
      <w:lvlJc w:val="left"/>
      <w:pPr>
        <w:ind w:left="5760" w:hanging="360"/>
      </w:pPr>
      <w:rPr>
        <w:rFonts w:ascii="Courier New" w:hAnsi="Courier New" w:hint="default"/>
      </w:rPr>
    </w:lvl>
    <w:lvl w:ilvl="8" w:tplc="EC6C9354">
      <w:start w:val="1"/>
      <w:numFmt w:val="bullet"/>
      <w:lvlText w:val=""/>
      <w:lvlJc w:val="left"/>
      <w:pPr>
        <w:ind w:left="6480" w:hanging="360"/>
      </w:pPr>
      <w:rPr>
        <w:rFonts w:ascii="Wingdings" w:hAnsi="Wingdings" w:hint="default"/>
      </w:rPr>
    </w:lvl>
  </w:abstractNum>
  <w:abstractNum w:abstractNumId="13" w15:restartNumberingAfterBreak="0">
    <w:nsid w:val="6DA402EE"/>
    <w:multiLevelType w:val="hybridMultilevel"/>
    <w:tmpl w:val="DDCEE58C"/>
    <w:lvl w:ilvl="0" w:tplc="FFFFFFFF">
      <w:start w:val="1"/>
      <w:numFmt w:val="bullet"/>
      <w:lvlText w:val=""/>
      <w:lvlJc w:val="left"/>
      <w:pPr>
        <w:ind w:left="1440" w:hanging="360"/>
      </w:pPr>
      <w:rPr>
        <w:rFonts w:ascii="Symbol" w:hAnsi="Symbol" w:hint="default"/>
      </w:rPr>
    </w:lvl>
    <w:lvl w:ilvl="1" w:tplc="040A0001">
      <w:start w:val="1"/>
      <w:numFmt w:val="bullet"/>
      <w:lvlText w:val=""/>
      <w:lvlJc w:val="left"/>
      <w:pPr>
        <w:ind w:left="2160" w:hanging="360"/>
      </w:pPr>
      <w:rPr>
        <w:rFonts w:ascii="Symbol" w:hAnsi="Symbol" w:hint="default"/>
      </w:rPr>
    </w:lvl>
    <w:lvl w:ilvl="2" w:tplc="040A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7B775D3C"/>
    <w:multiLevelType w:val="hybridMultilevel"/>
    <w:tmpl w:val="FDE6FC1A"/>
    <w:lvl w:ilvl="0" w:tplc="FFFFFFFF">
      <w:start w:val="1"/>
      <w:numFmt w:val="lowerLetter"/>
      <w:lvlText w:val="%1)"/>
      <w:lvlJc w:val="left"/>
      <w:pPr>
        <w:ind w:left="1440" w:hanging="360"/>
      </w:pPr>
      <w:rPr>
        <w:rFonts w:hint="default"/>
      </w:rPr>
    </w:lvl>
    <w:lvl w:ilvl="1" w:tplc="919A285E">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833138306">
    <w:abstractNumId w:val="10"/>
  </w:num>
  <w:num w:numId="2" w16cid:durableId="1483932608">
    <w:abstractNumId w:val="1"/>
  </w:num>
  <w:num w:numId="3" w16cid:durableId="2024894439">
    <w:abstractNumId w:val="12"/>
  </w:num>
  <w:num w:numId="4" w16cid:durableId="487554983">
    <w:abstractNumId w:val="11"/>
  </w:num>
  <w:num w:numId="5" w16cid:durableId="1960993251">
    <w:abstractNumId w:val="0"/>
  </w:num>
  <w:num w:numId="6" w16cid:durableId="89854778">
    <w:abstractNumId w:val="2"/>
  </w:num>
  <w:num w:numId="7" w16cid:durableId="388263213">
    <w:abstractNumId w:val="4"/>
  </w:num>
  <w:num w:numId="8" w16cid:durableId="541090513">
    <w:abstractNumId w:val="13"/>
  </w:num>
  <w:num w:numId="9" w16cid:durableId="2100515876">
    <w:abstractNumId w:val="5"/>
  </w:num>
  <w:num w:numId="10" w16cid:durableId="1279483814">
    <w:abstractNumId w:val="6"/>
  </w:num>
  <w:num w:numId="11" w16cid:durableId="1465657059">
    <w:abstractNumId w:val="7"/>
  </w:num>
  <w:num w:numId="12" w16cid:durableId="94253837">
    <w:abstractNumId w:val="8"/>
  </w:num>
  <w:num w:numId="13" w16cid:durableId="1184827285">
    <w:abstractNumId w:val="3"/>
  </w:num>
  <w:num w:numId="14" w16cid:durableId="456217838">
    <w:abstractNumId w:val="14"/>
  </w:num>
  <w:num w:numId="15" w16cid:durableId="205337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CD"/>
    <w:rsid w:val="000012BB"/>
    <w:rsid w:val="00004427"/>
    <w:rsid w:val="0000464D"/>
    <w:rsid w:val="000110F1"/>
    <w:rsid w:val="000118A8"/>
    <w:rsid w:val="00013ACB"/>
    <w:rsid w:val="000158A2"/>
    <w:rsid w:val="00015D87"/>
    <w:rsid w:val="00016053"/>
    <w:rsid w:val="00020653"/>
    <w:rsid w:val="000260EB"/>
    <w:rsid w:val="0002668A"/>
    <w:rsid w:val="000276CF"/>
    <w:rsid w:val="00030F71"/>
    <w:rsid w:val="0003247C"/>
    <w:rsid w:val="00037ABF"/>
    <w:rsid w:val="0004145F"/>
    <w:rsid w:val="0004161E"/>
    <w:rsid w:val="0004301F"/>
    <w:rsid w:val="00046089"/>
    <w:rsid w:val="0004618A"/>
    <w:rsid w:val="00050223"/>
    <w:rsid w:val="00051229"/>
    <w:rsid w:val="0005129E"/>
    <w:rsid w:val="00051AC2"/>
    <w:rsid w:val="0005289E"/>
    <w:rsid w:val="00052FFA"/>
    <w:rsid w:val="000543A9"/>
    <w:rsid w:val="00055394"/>
    <w:rsid w:val="000568C9"/>
    <w:rsid w:val="000600B5"/>
    <w:rsid w:val="000614E0"/>
    <w:rsid w:val="000621EB"/>
    <w:rsid w:val="00062850"/>
    <w:rsid w:val="00062A5E"/>
    <w:rsid w:val="00063429"/>
    <w:rsid w:val="000642B7"/>
    <w:rsid w:val="000649E4"/>
    <w:rsid w:val="0006779B"/>
    <w:rsid w:val="00067F78"/>
    <w:rsid w:val="00070EF3"/>
    <w:rsid w:val="000714A3"/>
    <w:rsid w:val="0007202E"/>
    <w:rsid w:val="00073046"/>
    <w:rsid w:val="000731A3"/>
    <w:rsid w:val="00075512"/>
    <w:rsid w:val="00075621"/>
    <w:rsid w:val="00077C84"/>
    <w:rsid w:val="00080019"/>
    <w:rsid w:val="00080726"/>
    <w:rsid w:val="00081D18"/>
    <w:rsid w:val="00082807"/>
    <w:rsid w:val="00085E82"/>
    <w:rsid w:val="00087B3C"/>
    <w:rsid w:val="00092B3A"/>
    <w:rsid w:val="00093C96"/>
    <w:rsid w:val="00095F0F"/>
    <w:rsid w:val="00097152"/>
    <w:rsid w:val="0009751D"/>
    <w:rsid w:val="000A0F81"/>
    <w:rsid w:val="000A199F"/>
    <w:rsid w:val="000A1D73"/>
    <w:rsid w:val="000A1EF5"/>
    <w:rsid w:val="000A257B"/>
    <w:rsid w:val="000A3668"/>
    <w:rsid w:val="000A56DC"/>
    <w:rsid w:val="000A5FD2"/>
    <w:rsid w:val="000B0100"/>
    <w:rsid w:val="000B0910"/>
    <w:rsid w:val="000B47A4"/>
    <w:rsid w:val="000B511B"/>
    <w:rsid w:val="000B59A2"/>
    <w:rsid w:val="000C187E"/>
    <w:rsid w:val="000C23CA"/>
    <w:rsid w:val="000D3AF5"/>
    <w:rsid w:val="000E1202"/>
    <w:rsid w:val="000E16EC"/>
    <w:rsid w:val="000E1C35"/>
    <w:rsid w:val="000E3E65"/>
    <w:rsid w:val="000E4723"/>
    <w:rsid w:val="000E64CF"/>
    <w:rsid w:val="000E73C4"/>
    <w:rsid w:val="000E7756"/>
    <w:rsid w:val="000F12B1"/>
    <w:rsid w:val="000F1D16"/>
    <w:rsid w:val="000F3D87"/>
    <w:rsid w:val="000F519D"/>
    <w:rsid w:val="0010027D"/>
    <w:rsid w:val="00101C19"/>
    <w:rsid w:val="00101E34"/>
    <w:rsid w:val="00103380"/>
    <w:rsid w:val="00103C2B"/>
    <w:rsid w:val="00111348"/>
    <w:rsid w:val="00111670"/>
    <w:rsid w:val="00112477"/>
    <w:rsid w:val="00115E7D"/>
    <w:rsid w:val="00116DD2"/>
    <w:rsid w:val="00122831"/>
    <w:rsid w:val="00123692"/>
    <w:rsid w:val="00127E94"/>
    <w:rsid w:val="001316BD"/>
    <w:rsid w:val="001344DE"/>
    <w:rsid w:val="00137C52"/>
    <w:rsid w:val="00142544"/>
    <w:rsid w:val="0014655D"/>
    <w:rsid w:val="001470B0"/>
    <w:rsid w:val="00150512"/>
    <w:rsid w:val="001516FE"/>
    <w:rsid w:val="00152F93"/>
    <w:rsid w:val="00155B64"/>
    <w:rsid w:val="0015600D"/>
    <w:rsid w:val="001561CD"/>
    <w:rsid w:val="00156929"/>
    <w:rsid w:val="00157F4E"/>
    <w:rsid w:val="0016014E"/>
    <w:rsid w:val="00161181"/>
    <w:rsid w:val="00161AB9"/>
    <w:rsid w:val="001621C7"/>
    <w:rsid w:val="0016220E"/>
    <w:rsid w:val="00162D70"/>
    <w:rsid w:val="00165738"/>
    <w:rsid w:val="001673DD"/>
    <w:rsid w:val="00170CAA"/>
    <w:rsid w:val="0017196B"/>
    <w:rsid w:val="001727A4"/>
    <w:rsid w:val="00172B60"/>
    <w:rsid w:val="00181780"/>
    <w:rsid w:val="00182A12"/>
    <w:rsid w:val="001832A2"/>
    <w:rsid w:val="00185CE0"/>
    <w:rsid w:val="00186D2D"/>
    <w:rsid w:val="00187794"/>
    <w:rsid w:val="00187D3C"/>
    <w:rsid w:val="00196157"/>
    <w:rsid w:val="00196D5B"/>
    <w:rsid w:val="001A0887"/>
    <w:rsid w:val="001A1A11"/>
    <w:rsid w:val="001A1BA5"/>
    <w:rsid w:val="001A2FFB"/>
    <w:rsid w:val="001A5CD9"/>
    <w:rsid w:val="001B04FC"/>
    <w:rsid w:val="001B14D1"/>
    <w:rsid w:val="001B1A5E"/>
    <w:rsid w:val="001B4E76"/>
    <w:rsid w:val="001B51B8"/>
    <w:rsid w:val="001B5EE8"/>
    <w:rsid w:val="001B67DC"/>
    <w:rsid w:val="001B688D"/>
    <w:rsid w:val="001C1939"/>
    <w:rsid w:val="001C2EDF"/>
    <w:rsid w:val="001C4048"/>
    <w:rsid w:val="001C4FF2"/>
    <w:rsid w:val="001D03C2"/>
    <w:rsid w:val="001D12E1"/>
    <w:rsid w:val="001D181E"/>
    <w:rsid w:val="001D1BFD"/>
    <w:rsid w:val="001D2B22"/>
    <w:rsid w:val="001D5D46"/>
    <w:rsid w:val="001D674E"/>
    <w:rsid w:val="001D67B6"/>
    <w:rsid w:val="001E04CD"/>
    <w:rsid w:val="001E10FB"/>
    <w:rsid w:val="001E4154"/>
    <w:rsid w:val="001E4502"/>
    <w:rsid w:val="001E4A1E"/>
    <w:rsid w:val="001E5DC9"/>
    <w:rsid w:val="001F1120"/>
    <w:rsid w:val="001F365A"/>
    <w:rsid w:val="001F383C"/>
    <w:rsid w:val="001F6C2F"/>
    <w:rsid w:val="001F6F2E"/>
    <w:rsid w:val="00200959"/>
    <w:rsid w:val="00205FC7"/>
    <w:rsid w:val="00206410"/>
    <w:rsid w:val="00207145"/>
    <w:rsid w:val="0020760B"/>
    <w:rsid w:val="00213345"/>
    <w:rsid w:val="00213C17"/>
    <w:rsid w:val="00216138"/>
    <w:rsid w:val="002163B4"/>
    <w:rsid w:val="0022377B"/>
    <w:rsid w:val="0022583C"/>
    <w:rsid w:val="00230B29"/>
    <w:rsid w:val="00232B80"/>
    <w:rsid w:val="002340C3"/>
    <w:rsid w:val="002370B8"/>
    <w:rsid w:val="00237186"/>
    <w:rsid w:val="00241E7D"/>
    <w:rsid w:val="00241E8F"/>
    <w:rsid w:val="00243DB4"/>
    <w:rsid w:val="00244558"/>
    <w:rsid w:val="00245B54"/>
    <w:rsid w:val="00245C8D"/>
    <w:rsid w:val="00246147"/>
    <w:rsid w:val="00246444"/>
    <w:rsid w:val="0024791D"/>
    <w:rsid w:val="00252BBF"/>
    <w:rsid w:val="00252D2C"/>
    <w:rsid w:val="002571C8"/>
    <w:rsid w:val="002601FD"/>
    <w:rsid w:val="00262573"/>
    <w:rsid w:val="00264472"/>
    <w:rsid w:val="00265B6A"/>
    <w:rsid w:val="002742DB"/>
    <w:rsid w:val="00275A3C"/>
    <w:rsid w:val="002811CF"/>
    <w:rsid w:val="00284058"/>
    <w:rsid w:val="0028498A"/>
    <w:rsid w:val="00286255"/>
    <w:rsid w:val="00286384"/>
    <w:rsid w:val="00286B6B"/>
    <w:rsid w:val="00287037"/>
    <w:rsid w:val="00290E4A"/>
    <w:rsid w:val="00291172"/>
    <w:rsid w:val="00293318"/>
    <w:rsid w:val="00293C1A"/>
    <w:rsid w:val="00293E59"/>
    <w:rsid w:val="00294F68"/>
    <w:rsid w:val="002962D2"/>
    <w:rsid w:val="002A2E8A"/>
    <w:rsid w:val="002A4A9F"/>
    <w:rsid w:val="002A621D"/>
    <w:rsid w:val="002A64AC"/>
    <w:rsid w:val="002A6CB4"/>
    <w:rsid w:val="002A76A0"/>
    <w:rsid w:val="002A7817"/>
    <w:rsid w:val="002B02FC"/>
    <w:rsid w:val="002B1063"/>
    <w:rsid w:val="002B2E23"/>
    <w:rsid w:val="002B5562"/>
    <w:rsid w:val="002B6C6C"/>
    <w:rsid w:val="002B7D2D"/>
    <w:rsid w:val="002C048D"/>
    <w:rsid w:val="002C078C"/>
    <w:rsid w:val="002C11C5"/>
    <w:rsid w:val="002C222C"/>
    <w:rsid w:val="002D2A32"/>
    <w:rsid w:val="002D4BFB"/>
    <w:rsid w:val="002D7D99"/>
    <w:rsid w:val="002E053E"/>
    <w:rsid w:val="002E1124"/>
    <w:rsid w:val="002E3753"/>
    <w:rsid w:val="002E7197"/>
    <w:rsid w:val="002E7723"/>
    <w:rsid w:val="002F1C28"/>
    <w:rsid w:val="002F21E6"/>
    <w:rsid w:val="002F341A"/>
    <w:rsid w:val="002F4C08"/>
    <w:rsid w:val="002F51F9"/>
    <w:rsid w:val="002F7308"/>
    <w:rsid w:val="002F7E80"/>
    <w:rsid w:val="00300392"/>
    <w:rsid w:val="00300C67"/>
    <w:rsid w:val="003018E0"/>
    <w:rsid w:val="00301E42"/>
    <w:rsid w:val="0030458A"/>
    <w:rsid w:val="00305503"/>
    <w:rsid w:val="0030614E"/>
    <w:rsid w:val="0030698C"/>
    <w:rsid w:val="00306D10"/>
    <w:rsid w:val="00310417"/>
    <w:rsid w:val="00311370"/>
    <w:rsid w:val="00311B70"/>
    <w:rsid w:val="00313233"/>
    <w:rsid w:val="00314AAF"/>
    <w:rsid w:val="0031526A"/>
    <w:rsid w:val="00315DAA"/>
    <w:rsid w:val="00316BAD"/>
    <w:rsid w:val="003212C4"/>
    <w:rsid w:val="00321ADF"/>
    <w:rsid w:val="0032200A"/>
    <w:rsid w:val="00323444"/>
    <w:rsid w:val="00324B6B"/>
    <w:rsid w:val="00326276"/>
    <w:rsid w:val="003271D4"/>
    <w:rsid w:val="00327F82"/>
    <w:rsid w:val="00332015"/>
    <w:rsid w:val="00332D32"/>
    <w:rsid w:val="0033336A"/>
    <w:rsid w:val="00333E91"/>
    <w:rsid w:val="0033405E"/>
    <w:rsid w:val="00335D0B"/>
    <w:rsid w:val="00344454"/>
    <w:rsid w:val="00346066"/>
    <w:rsid w:val="003465A5"/>
    <w:rsid w:val="00346DB6"/>
    <w:rsid w:val="00347531"/>
    <w:rsid w:val="00350F44"/>
    <w:rsid w:val="00352CE6"/>
    <w:rsid w:val="003568FE"/>
    <w:rsid w:val="00356948"/>
    <w:rsid w:val="00360E0C"/>
    <w:rsid w:val="003625A7"/>
    <w:rsid w:val="00363842"/>
    <w:rsid w:val="0036556A"/>
    <w:rsid w:val="00365E70"/>
    <w:rsid w:val="0036742D"/>
    <w:rsid w:val="003675AE"/>
    <w:rsid w:val="00367DF4"/>
    <w:rsid w:val="003711D6"/>
    <w:rsid w:val="00371F5B"/>
    <w:rsid w:val="00375CFD"/>
    <w:rsid w:val="003761B8"/>
    <w:rsid w:val="003774A6"/>
    <w:rsid w:val="003818C7"/>
    <w:rsid w:val="00382884"/>
    <w:rsid w:val="00382A8F"/>
    <w:rsid w:val="00384329"/>
    <w:rsid w:val="00386466"/>
    <w:rsid w:val="00386E5E"/>
    <w:rsid w:val="00387F46"/>
    <w:rsid w:val="00390105"/>
    <w:rsid w:val="003909D4"/>
    <w:rsid w:val="003918E0"/>
    <w:rsid w:val="00392BEB"/>
    <w:rsid w:val="003931C6"/>
    <w:rsid w:val="003939AA"/>
    <w:rsid w:val="003966E8"/>
    <w:rsid w:val="0039693D"/>
    <w:rsid w:val="00397418"/>
    <w:rsid w:val="003A11F3"/>
    <w:rsid w:val="003A297D"/>
    <w:rsid w:val="003A4802"/>
    <w:rsid w:val="003A4814"/>
    <w:rsid w:val="003B20E3"/>
    <w:rsid w:val="003B39AD"/>
    <w:rsid w:val="003B47FF"/>
    <w:rsid w:val="003B56C8"/>
    <w:rsid w:val="003B589A"/>
    <w:rsid w:val="003B6284"/>
    <w:rsid w:val="003B7232"/>
    <w:rsid w:val="003B7267"/>
    <w:rsid w:val="003C0CCE"/>
    <w:rsid w:val="003C0F50"/>
    <w:rsid w:val="003C12F5"/>
    <w:rsid w:val="003C1437"/>
    <w:rsid w:val="003C31B7"/>
    <w:rsid w:val="003C3256"/>
    <w:rsid w:val="003C38EC"/>
    <w:rsid w:val="003C3983"/>
    <w:rsid w:val="003C3ED3"/>
    <w:rsid w:val="003C5250"/>
    <w:rsid w:val="003C5522"/>
    <w:rsid w:val="003D134F"/>
    <w:rsid w:val="003D32D6"/>
    <w:rsid w:val="003D53F9"/>
    <w:rsid w:val="003D76BF"/>
    <w:rsid w:val="003E0A14"/>
    <w:rsid w:val="003E0F0A"/>
    <w:rsid w:val="003E7408"/>
    <w:rsid w:val="003F503D"/>
    <w:rsid w:val="003F65DB"/>
    <w:rsid w:val="003F7393"/>
    <w:rsid w:val="00400CC3"/>
    <w:rsid w:val="004027C3"/>
    <w:rsid w:val="00402C7B"/>
    <w:rsid w:val="00404126"/>
    <w:rsid w:val="0040608C"/>
    <w:rsid w:val="004062A7"/>
    <w:rsid w:val="00407396"/>
    <w:rsid w:val="0040790E"/>
    <w:rsid w:val="004117C4"/>
    <w:rsid w:val="00413C5F"/>
    <w:rsid w:val="00414859"/>
    <w:rsid w:val="0041551C"/>
    <w:rsid w:val="00415CA6"/>
    <w:rsid w:val="00415DAC"/>
    <w:rsid w:val="00415F7A"/>
    <w:rsid w:val="0041628F"/>
    <w:rsid w:val="004163A4"/>
    <w:rsid w:val="00424F48"/>
    <w:rsid w:val="00427519"/>
    <w:rsid w:val="00427D35"/>
    <w:rsid w:val="0043739C"/>
    <w:rsid w:val="004426E2"/>
    <w:rsid w:val="00442F5A"/>
    <w:rsid w:val="004451AE"/>
    <w:rsid w:val="00445C96"/>
    <w:rsid w:val="00450323"/>
    <w:rsid w:val="004523AD"/>
    <w:rsid w:val="00452FA8"/>
    <w:rsid w:val="00455C57"/>
    <w:rsid w:val="00463342"/>
    <w:rsid w:val="004636F0"/>
    <w:rsid w:val="00463918"/>
    <w:rsid w:val="00464C4D"/>
    <w:rsid w:val="0046618C"/>
    <w:rsid w:val="00467821"/>
    <w:rsid w:val="0046797E"/>
    <w:rsid w:val="0047423A"/>
    <w:rsid w:val="00475847"/>
    <w:rsid w:val="00476C66"/>
    <w:rsid w:val="00480157"/>
    <w:rsid w:val="004801D9"/>
    <w:rsid w:val="0048190E"/>
    <w:rsid w:val="00485EB4"/>
    <w:rsid w:val="00486CB2"/>
    <w:rsid w:val="0048777A"/>
    <w:rsid w:val="00491377"/>
    <w:rsid w:val="00491943"/>
    <w:rsid w:val="00491C10"/>
    <w:rsid w:val="00492085"/>
    <w:rsid w:val="00492B96"/>
    <w:rsid w:val="00492FF0"/>
    <w:rsid w:val="004956F5"/>
    <w:rsid w:val="00495CE4"/>
    <w:rsid w:val="004A0ABE"/>
    <w:rsid w:val="004A2066"/>
    <w:rsid w:val="004A2131"/>
    <w:rsid w:val="004A2AA9"/>
    <w:rsid w:val="004A3092"/>
    <w:rsid w:val="004A5D9C"/>
    <w:rsid w:val="004B0411"/>
    <w:rsid w:val="004B0B0C"/>
    <w:rsid w:val="004B3B43"/>
    <w:rsid w:val="004B3CCD"/>
    <w:rsid w:val="004B3CE4"/>
    <w:rsid w:val="004B4225"/>
    <w:rsid w:val="004B42C2"/>
    <w:rsid w:val="004B467B"/>
    <w:rsid w:val="004B5E2A"/>
    <w:rsid w:val="004B67DB"/>
    <w:rsid w:val="004B6907"/>
    <w:rsid w:val="004C0284"/>
    <w:rsid w:val="004C4024"/>
    <w:rsid w:val="004C4911"/>
    <w:rsid w:val="004D1C17"/>
    <w:rsid w:val="004D267C"/>
    <w:rsid w:val="004D2963"/>
    <w:rsid w:val="004D3128"/>
    <w:rsid w:val="004D33BA"/>
    <w:rsid w:val="004D4B43"/>
    <w:rsid w:val="004D5013"/>
    <w:rsid w:val="004D5BDA"/>
    <w:rsid w:val="004D5E4A"/>
    <w:rsid w:val="004E04C1"/>
    <w:rsid w:val="004E1940"/>
    <w:rsid w:val="004E1FBD"/>
    <w:rsid w:val="004E3CDB"/>
    <w:rsid w:val="004E4684"/>
    <w:rsid w:val="004E4875"/>
    <w:rsid w:val="004E6312"/>
    <w:rsid w:val="004F0A95"/>
    <w:rsid w:val="004F3084"/>
    <w:rsid w:val="004F3466"/>
    <w:rsid w:val="004F3C2F"/>
    <w:rsid w:val="004F43AB"/>
    <w:rsid w:val="004F4AFF"/>
    <w:rsid w:val="004F6E41"/>
    <w:rsid w:val="004F7270"/>
    <w:rsid w:val="005009CC"/>
    <w:rsid w:val="0050123C"/>
    <w:rsid w:val="00501E1A"/>
    <w:rsid w:val="0050310E"/>
    <w:rsid w:val="00503585"/>
    <w:rsid w:val="005046CF"/>
    <w:rsid w:val="00506337"/>
    <w:rsid w:val="005067D5"/>
    <w:rsid w:val="00512390"/>
    <w:rsid w:val="005123DD"/>
    <w:rsid w:val="0051257A"/>
    <w:rsid w:val="00512EB4"/>
    <w:rsid w:val="005149E4"/>
    <w:rsid w:val="00515A6E"/>
    <w:rsid w:val="0052019D"/>
    <w:rsid w:val="0052120A"/>
    <w:rsid w:val="00521D41"/>
    <w:rsid w:val="00523938"/>
    <w:rsid w:val="005239D9"/>
    <w:rsid w:val="00523B90"/>
    <w:rsid w:val="00524764"/>
    <w:rsid w:val="00524D6F"/>
    <w:rsid w:val="005257E8"/>
    <w:rsid w:val="00525F5C"/>
    <w:rsid w:val="00526FB8"/>
    <w:rsid w:val="00531055"/>
    <w:rsid w:val="00532A7C"/>
    <w:rsid w:val="00532DB8"/>
    <w:rsid w:val="00535703"/>
    <w:rsid w:val="005357D2"/>
    <w:rsid w:val="00536F22"/>
    <w:rsid w:val="00537742"/>
    <w:rsid w:val="00543DA0"/>
    <w:rsid w:val="005468EE"/>
    <w:rsid w:val="00552A60"/>
    <w:rsid w:val="005544C9"/>
    <w:rsid w:val="0055624E"/>
    <w:rsid w:val="00556522"/>
    <w:rsid w:val="00557106"/>
    <w:rsid w:val="00557FA9"/>
    <w:rsid w:val="00567A01"/>
    <w:rsid w:val="00567F26"/>
    <w:rsid w:val="0057119D"/>
    <w:rsid w:val="00575859"/>
    <w:rsid w:val="00575F16"/>
    <w:rsid w:val="0057651A"/>
    <w:rsid w:val="0057706F"/>
    <w:rsid w:val="00577570"/>
    <w:rsid w:val="00581DBA"/>
    <w:rsid w:val="00582A49"/>
    <w:rsid w:val="00582AA1"/>
    <w:rsid w:val="00584311"/>
    <w:rsid w:val="00584E19"/>
    <w:rsid w:val="00586EB7"/>
    <w:rsid w:val="00586FE7"/>
    <w:rsid w:val="00590559"/>
    <w:rsid w:val="00591E8C"/>
    <w:rsid w:val="00592480"/>
    <w:rsid w:val="00593229"/>
    <w:rsid w:val="005940D3"/>
    <w:rsid w:val="00595622"/>
    <w:rsid w:val="00595712"/>
    <w:rsid w:val="00596669"/>
    <w:rsid w:val="00597954"/>
    <w:rsid w:val="005A0927"/>
    <w:rsid w:val="005A2E22"/>
    <w:rsid w:val="005A4C06"/>
    <w:rsid w:val="005A6F0F"/>
    <w:rsid w:val="005A7ECE"/>
    <w:rsid w:val="005B05FD"/>
    <w:rsid w:val="005B31F6"/>
    <w:rsid w:val="005B62FC"/>
    <w:rsid w:val="005C1784"/>
    <w:rsid w:val="005C1AD7"/>
    <w:rsid w:val="005C3E9D"/>
    <w:rsid w:val="005C4A59"/>
    <w:rsid w:val="005C73A0"/>
    <w:rsid w:val="005C7B54"/>
    <w:rsid w:val="005D13C8"/>
    <w:rsid w:val="005D1562"/>
    <w:rsid w:val="005D6D5F"/>
    <w:rsid w:val="005D6F8A"/>
    <w:rsid w:val="005D715E"/>
    <w:rsid w:val="005E1869"/>
    <w:rsid w:val="005E1C34"/>
    <w:rsid w:val="005E2D80"/>
    <w:rsid w:val="005E37CF"/>
    <w:rsid w:val="005E491D"/>
    <w:rsid w:val="005E5ECB"/>
    <w:rsid w:val="005F24CE"/>
    <w:rsid w:val="005F6F4F"/>
    <w:rsid w:val="00600A74"/>
    <w:rsid w:val="00603DE5"/>
    <w:rsid w:val="00603E2C"/>
    <w:rsid w:val="00604834"/>
    <w:rsid w:val="006063F1"/>
    <w:rsid w:val="00610684"/>
    <w:rsid w:val="006108CC"/>
    <w:rsid w:val="00610AAA"/>
    <w:rsid w:val="006115EE"/>
    <w:rsid w:val="00611857"/>
    <w:rsid w:val="0061251C"/>
    <w:rsid w:val="006141D5"/>
    <w:rsid w:val="0061570F"/>
    <w:rsid w:val="006162C5"/>
    <w:rsid w:val="006202E1"/>
    <w:rsid w:val="00620B3C"/>
    <w:rsid w:val="006211D4"/>
    <w:rsid w:val="0062120F"/>
    <w:rsid w:val="00621D92"/>
    <w:rsid w:val="00622967"/>
    <w:rsid w:val="00623F17"/>
    <w:rsid w:val="0062628A"/>
    <w:rsid w:val="00627A32"/>
    <w:rsid w:val="006300D2"/>
    <w:rsid w:val="0063199B"/>
    <w:rsid w:val="00631CF4"/>
    <w:rsid w:val="00631D87"/>
    <w:rsid w:val="00632813"/>
    <w:rsid w:val="00643EC8"/>
    <w:rsid w:val="00643F09"/>
    <w:rsid w:val="00644831"/>
    <w:rsid w:val="00650102"/>
    <w:rsid w:val="00650A7E"/>
    <w:rsid w:val="006524CB"/>
    <w:rsid w:val="00652BDC"/>
    <w:rsid w:val="0065326E"/>
    <w:rsid w:val="0065361F"/>
    <w:rsid w:val="00653943"/>
    <w:rsid w:val="006542C1"/>
    <w:rsid w:val="0065460F"/>
    <w:rsid w:val="00655716"/>
    <w:rsid w:val="0065585F"/>
    <w:rsid w:val="00662AE7"/>
    <w:rsid w:val="00665B87"/>
    <w:rsid w:val="00667B51"/>
    <w:rsid w:val="00670AB7"/>
    <w:rsid w:val="0067125E"/>
    <w:rsid w:val="00671602"/>
    <w:rsid w:val="00671FAF"/>
    <w:rsid w:val="00672491"/>
    <w:rsid w:val="00674035"/>
    <w:rsid w:val="0067466D"/>
    <w:rsid w:val="0068239D"/>
    <w:rsid w:val="00682FDB"/>
    <w:rsid w:val="00685DE5"/>
    <w:rsid w:val="00686E96"/>
    <w:rsid w:val="0069001B"/>
    <w:rsid w:val="00691619"/>
    <w:rsid w:val="00692A9F"/>
    <w:rsid w:val="00692F6F"/>
    <w:rsid w:val="0069305B"/>
    <w:rsid w:val="006935B8"/>
    <w:rsid w:val="006936E2"/>
    <w:rsid w:val="00693F2A"/>
    <w:rsid w:val="006972CD"/>
    <w:rsid w:val="0069798F"/>
    <w:rsid w:val="00697EEE"/>
    <w:rsid w:val="006A127A"/>
    <w:rsid w:val="006A2C4F"/>
    <w:rsid w:val="006A3E39"/>
    <w:rsid w:val="006A4117"/>
    <w:rsid w:val="006A7E1A"/>
    <w:rsid w:val="006B2FD8"/>
    <w:rsid w:val="006B43D7"/>
    <w:rsid w:val="006B5828"/>
    <w:rsid w:val="006B69E5"/>
    <w:rsid w:val="006B7499"/>
    <w:rsid w:val="006C12C9"/>
    <w:rsid w:val="006C18BE"/>
    <w:rsid w:val="006C2F48"/>
    <w:rsid w:val="006C3F7D"/>
    <w:rsid w:val="006C5369"/>
    <w:rsid w:val="006C5796"/>
    <w:rsid w:val="006D057C"/>
    <w:rsid w:val="006D17C4"/>
    <w:rsid w:val="006D3979"/>
    <w:rsid w:val="006D5396"/>
    <w:rsid w:val="006D6364"/>
    <w:rsid w:val="006D6B86"/>
    <w:rsid w:val="006D73D2"/>
    <w:rsid w:val="006D77B2"/>
    <w:rsid w:val="006D7814"/>
    <w:rsid w:val="006D7C9B"/>
    <w:rsid w:val="006E2735"/>
    <w:rsid w:val="006E31CE"/>
    <w:rsid w:val="006E3B7A"/>
    <w:rsid w:val="006E43B1"/>
    <w:rsid w:val="006E51DB"/>
    <w:rsid w:val="006E5B8F"/>
    <w:rsid w:val="006F0356"/>
    <w:rsid w:val="006F13BE"/>
    <w:rsid w:val="006F3A96"/>
    <w:rsid w:val="006F44B4"/>
    <w:rsid w:val="00703E2A"/>
    <w:rsid w:val="0070757A"/>
    <w:rsid w:val="00711B5D"/>
    <w:rsid w:val="00712640"/>
    <w:rsid w:val="007135A4"/>
    <w:rsid w:val="00715279"/>
    <w:rsid w:val="0071540B"/>
    <w:rsid w:val="00715FE2"/>
    <w:rsid w:val="0071777E"/>
    <w:rsid w:val="00721E4B"/>
    <w:rsid w:val="0072398F"/>
    <w:rsid w:val="00725A8C"/>
    <w:rsid w:val="00727ADB"/>
    <w:rsid w:val="00727B96"/>
    <w:rsid w:val="007302CF"/>
    <w:rsid w:val="00732BF8"/>
    <w:rsid w:val="007338DC"/>
    <w:rsid w:val="00733A9F"/>
    <w:rsid w:val="0074068B"/>
    <w:rsid w:val="0074095A"/>
    <w:rsid w:val="0074624F"/>
    <w:rsid w:val="00746CCB"/>
    <w:rsid w:val="007472DD"/>
    <w:rsid w:val="00747B3B"/>
    <w:rsid w:val="00752A3F"/>
    <w:rsid w:val="00752BBE"/>
    <w:rsid w:val="00753BC2"/>
    <w:rsid w:val="00754B18"/>
    <w:rsid w:val="0076299F"/>
    <w:rsid w:val="00762B90"/>
    <w:rsid w:val="00763E8C"/>
    <w:rsid w:val="00764CA8"/>
    <w:rsid w:val="00764D9C"/>
    <w:rsid w:val="00767491"/>
    <w:rsid w:val="00767622"/>
    <w:rsid w:val="007723F3"/>
    <w:rsid w:val="007768C9"/>
    <w:rsid w:val="00777578"/>
    <w:rsid w:val="00782FFC"/>
    <w:rsid w:val="00783D78"/>
    <w:rsid w:val="00786320"/>
    <w:rsid w:val="00790BBF"/>
    <w:rsid w:val="007911FA"/>
    <w:rsid w:val="00792650"/>
    <w:rsid w:val="00795108"/>
    <w:rsid w:val="00795220"/>
    <w:rsid w:val="00797110"/>
    <w:rsid w:val="007A1B97"/>
    <w:rsid w:val="007A24AD"/>
    <w:rsid w:val="007A3191"/>
    <w:rsid w:val="007A42EA"/>
    <w:rsid w:val="007A575E"/>
    <w:rsid w:val="007A5AEA"/>
    <w:rsid w:val="007B17A0"/>
    <w:rsid w:val="007B1C22"/>
    <w:rsid w:val="007B1E04"/>
    <w:rsid w:val="007B2673"/>
    <w:rsid w:val="007B28A0"/>
    <w:rsid w:val="007B41E0"/>
    <w:rsid w:val="007B5A05"/>
    <w:rsid w:val="007B7B93"/>
    <w:rsid w:val="007C0245"/>
    <w:rsid w:val="007C181B"/>
    <w:rsid w:val="007C228B"/>
    <w:rsid w:val="007C5CFA"/>
    <w:rsid w:val="007C69D5"/>
    <w:rsid w:val="007D0B00"/>
    <w:rsid w:val="007D12B1"/>
    <w:rsid w:val="007D3304"/>
    <w:rsid w:val="007D352E"/>
    <w:rsid w:val="007D4500"/>
    <w:rsid w:val="007D5848"/>
    <w:rsid w:val="007D6EF3"/>
    <w:rsid w:val="007D75A9"/>
    <w:rsid w:val="007D7E69"/>
    <w:rsid w:val="007E0F73"/>
    <w:rsid w:val="007E366E"/>
    <w:rsid w:val="007E4369"/>
    <w:rsid w:val="007E6184"/>
    <w:rsid w:val="007F1E30"/>
    <w:rsid w:val="007F4C49"/>
    <w:rsid w:val="007F5F4B"/>
    <w:rsid w:val="007F705C"/>
    <w:rsid w:val="00801619"/>
    <w:rsid w:val="00802922"/>
    <w:rsid w:val="008046A3"/>
    <w:rsid w:val="00810F3E"/>
    <w:rsid w:val="00811A82"/>
    <w:rsid w:val="008120C7"/>
    <w:rsid w:val="00812740"/>
    <w:rsid w:val="00813221"/>
    <w:rsid w:val="0081351D"/>
    <w:rsid w:val="00814221"/>
    <w:rsid w:val="00816D98"/>
    <w:rsid w:val="00821044"/>
    <w:rsid w:val="00821650"/>
    <w:rsid w:val="00822A0C"/>
    <w:rsid w:val="008230EB"/>
    <w:rsid w:val="00823F11"/>
    <w:rsid w:val="0082467F"/>
    <w:rsid w:val="00826D1B"/>
    <w:rsid w:val="00826F92"/>
    <w:rsid w:val="00830B46"/>
    <w:rsid w:val="00832208"/>
    <w:rsid w:val="00833E36"/>
    <w:rsid w:val="00835ACA"/>
    <w:rsid w:val="0083716E"/>
    <w:rsid w:val="00846D21"/>
    <w:rsid w:val="00846EE8"/>
    <w:rsid w:val="00847FB3"/>
    <w:rsid w:val="008510F7"/>
    <w:rsid w:val="00852011"/>
    <w:rsid w:val="008538FF"/>
    <w:rsid w:val="0085458C"/>
    <w:rsid w:val="00855C2D"/>
    <w:rsid w:val="0085614D"/>
    <w:rsid w:val="00863190"/>
    <w:rsid w:val="0086345B"/>
    <w:rsid w:val="0086551C"/>
    <w:rsid w:val="0087297A"/>
    <w:rsid w:val="00873734"/>
    <w:rsid w:val="00873D10"/>
    <w:rsid w:val="00874618"/>
    <w:rsid w:val="008774AD"/>
    <w:rsid w:val="00881258"/>
    <w:rsid w:val="00881D3D"/>
    <w:rsid w:val="008845CB"/>
    <w:rsid w:val="00884F76"/>
    <w:rsid w:val="00885400"/>
    <w:rsid w:val="00885B82"/>
    <w:rsid w:val="0088661F"/>
    <w:rsid w:val="00891FC2"/>
    <w:rsid w:val="008945B0"/>
    <w:rsid w:val="00895A12"/>
    <w:rsid w:val="00897DED"/>
    <w:rsid w:val="008A1D3B"/>
    <w:rsid w:val="008A25B1"/>
    <w:rsid w:val="008A26C4"/>
    <w:rsid w:val="008A292C"/>
    <w:rsid w:val="008A3C99"/>
    <w:rsid w:val="008A58BC"/>
    <w:rsid w:val="008A6FDB"/>
    <w:rsid w:val="008A711C"/>
    <w:rsid w:val="008A736E"/>
    <w:rsid w:val="008B287B"/>
    <w:rsid w:val="008B2944"/>
    <w:rsid w:val="008B6FE8"/>
    <w:rsid w:val="008B702F"/>
    <w:rsid w:val="008B712F"/>
    <w:rsid w:val="008B7CB0"/>
    <w:rsid w:val="008B7EF5"/>
    <w:rsid w:val="008C0D30"/>
    <w:rsid w:val="008C3076"/>
    <w:rsid w:val="008C4EE4"/>
    <w:rsid w:val="008C5349"/>
    <w:rsid w:val="008C7524"/>
    <w:rsid w:val="008D0D8D"/>
    <w:rsid w:val="008D30D0"/>
    <w:rsid w:val="008D5F24"/>
    <w:rsid w:val="008D710E"/>
    <w:rsid w:val="008D7406"/>
    <w:rsid w:val="008E0444"/>
    <w:rsid w:val="008E4879"/>
    <w:rsid w:val="008E6E4F"/>
    <w:rsid w:val="008F130C"/>
    <w:rsid w:val="008F3894"/>
    <w:rsid w:val="008F3F07"/>
    <w:rsid w:val="008F4421"/>
    <w:rsid w:val="008F49B5"/>
    <w:rsid w:val="008F4DF0"/>
    <w:rsid w:val="008F6A6B"/>
    <w:rsid w:val="0090212D"/>
    <w:rsid w:val="00913CD4"/>
    <w:rsid w:val="0091591A"/>
    <w:rsid w:val="00921CF0"/>
    <w:rsid w:val="00921E9D"/>
    <w:rsid w:val="00921FDD"/>
    <w:rsid w:val="0092465C"/>
    <w:rsid w:val="00925924"/>
    <w:rsid w:val="00937DE8"/>
    <w:rsid w:val="00940BA8"/>
    <w:rsid w:val="00942961"/>
    <w:rsid w:val="009442D8"/>
    <w:rsid w:val="00944F55"/>
    <w:rsid w:val="00946092"/>
    <w:rsid w:val="009468BF"/>
    <w:rsid w:val="00947408"/>
    <w:rsid w:val="009476C3"/>
    <w:rsid w:val="0094780B"/>
    <w:rsid w:val="00950233"/>
    <w:rsid w:val="0095260E"/>
    <w:rsid w:val="009533C6"/>
    <w:rsid w:val="00953A90"/>
    <w:rsid w:val="009542D7"/>
    <w:rsid w:val="009544CD"/>
    <w:rsid w:val="00955B9F"/>
    <w:rsid w:val="00956BA2"/>
    <w:rsid w:val="0096014E"/>
    <w:rsid w:val="00960292"/>
    <w:rsid w:val="0096057D"/>
    <w:rsid w:val="00960F7B"/>
    <w:rsid w:val="009636B4"/>
    <w:rsid w:val="00964BC7"/>
    <w:rsid w:val="00964EE8"/>
    <w:rsid w:val="0096534E"/>
    <w:rsid w:val="009653B1"/>
    <w:rsid w:val="009662A1"/>
    <w:rsid w:val="00972F72"/>
    <w:rsid w:val="00973021"/>
    <w:rsid w:val="0098138F"/>
    <w:rsid w:val="00985F8C"/>
    <w:rsid w:val="00990394"/>
    <w:rsid w:val="00990537"/>
    <w:rsid w:val="0099083C"/>
    <w:rsid w:val="00992C07"/>
    <w:rsid w:val="00993DFE"/>
    <w:rsid w:val="00993E35"/>
    <w:rsid w:val="0099626F"/>
    <w:rsid w:val="009A1975"/>
    <w:rsid w:val="009A1F79"/>
    <w:rsid w:val="009A1FE2"/>
    <w:rsid w:val="009A2065"/>
    <w:rsid w:val="009A2257"/>
    <w:rsid w:val="009A2F48"/>
    <w:rsid w:val="009A76D4"/>
    <w:rsid w:val="009A7788"/>
    <w:rsid w:val="009B1F29"/>
    <w:rsid w:val="009B3792"/>
    <w:rsid w:val="009B62AF"/>
    <w:rsid w:val="009B7391"/>
    <w:rsid w:val="009C0AB6"/>
    <w:rsid w:val="009C0D5A"/>
    <w:rsid w:val="009C2095"/>
    <w:rsid w:val="009C2D50"/>
    <w:rsid w:val="009C321A"/>
    <w:rsid w:val="009C7BEB"/>
    <w:rsid w:val="009D0817"/>
    <w:rsid w:val="009D2667"/>
    <w:rsid w:val="009D27F7"/>
    <w:rsid w:val="009E17C9"/>
    <w:rsid w:val="009E1CB2"/>
    <w:rsid w:val="009E41B8"/>
    <w:rsid w:val="009E54D0"/>
    <w:rsid w:val="009E616E"/>
    <w:rsid w:val="009E6312"/>
    <w:rsid w:val="009E6F62"/>
    <w:rsid w:val="009F1566"/>
    <w:rsid w:val="009F3AF6"/>
    <w:rsid w:val="009F4803"/>
    <w:rsid w:val="009F5823"/>
    <w:rsid w:val="00A0119F"/>
    <w:rsid w:val="00A01A77"/>
    <w:rsid w:val="00A01AE1"/>
    <w:rsid w:val="00A03A91"/>
    <w:rsid w:val="00A03B76"/>
    <w:rsid w:val="00A0421B"/>
    <w:rsid w:val="00A055DC"/>
    <w:rsid w:val="00A0578E"/>
    <w:rsid w:val="00A05B37"/>
    <w:rsid w:val="00A06147"/>
    <w:rsid w:val="00A069C2"/>
    <w:rsid w:val="00A06A94"/>
    <w:rsid w:val="00A078B9"/>
    <w:rsid w:val="00A102FE"/>
    <w:rsid w:val="00A11F5F"/>
    <w:rsid w:val="00A12504"/>
    <w:rsid w:val="00A12A97"/>
    <w:rsid w:val="00A13779"/>
    <w:rsid w:val="00A146D0"/>
    <w:rsid w:val="00A156DE"/>
    <w:rsid w:val="00A159C3"/>
    <w:rsid w:val="00A2104F"/>
    <w:rsid w:val="00A21362"/>
    <w:rsid w:val="00A2555A"/>
    <w:rsid w:val="00A2656E"/>
    <w:rsid w:val="00A31D89"/>
    <w:rsid w:val="00A31ECA"/>
    <w:rsid w:val="00A32F46"/>
    <w:rsid w:val="00A330DA"/>
    <w:rsid w:val="00A34585"/>
    <w:rsid w:val="00A35BEF"/>
    <w:rsid w:val="00A417A8"/>
    <w:rsid w:val="00A420EB"/>
    <w:rsid w:val="00A4218B"/>
    <w:rsid w:val="00A441DF"/>
    <w:rsid w:val="00A45B91"/>
    <w:rsid w:val="00A46ED9"/>
    <w:rsid w:val="00A51059"/>
    <w:rsid w:val="00A525CF"/>
    <w:rsid w:val="00A61F36"/>
    <w:rsid w:val="00A704BE"/>
    <w:rsid w:val="00A715C1"/>
    <w:rsid w:val="00A7274B"/>
    <w:rsid w:val="00A73CA5"/>
    <w:rsid w:val="00A775B6"/>
    <w:rsid w:val="00A82655"/>
    <w:rsid w:val="00A8297E"/>
    <w:rsid w:val="00A84C90"/>
    <w:rsid w:val="00A863B2"/>
    <w:rsid w:val="00A86430"/>
    <w:rsid w:val="00A876E8"/>
    <w:rsid w:val="00A930B3"/>
    <w:rsid w:val="00A9329A"/>
    <w:rsid w:val="00A94BCA"/>
    <w:rsid w:val="00A97E76"/>
    <w:rsid w:val="00AA1145"/>
    <w:rsid w:val="00AA3004"/>
    <w:rsid w:val="00AA7E9C"/>
    <w:rsid w:val="00AA7F5A"/>
    <w:rsid w:val="00AB3201"/>
    <w:rsid w:val="00AC0BA6"/>
    <w:rsid w:val="00AC456A"/>
    <w:rsid w:val="00AC50B9"/>
    <w:rsid w:val="00AC716C"/>
    <w:rsid w:val="00AD2D1A"/>
    <w:rsid w:val="00AD4301"/>
    <w:rsid w:val="00AD5FBC"/>
    <w:rsid w:val="00AD7BB1"/>
    <w:rsid w:val="00AE41D7"/>
    <w:rsid w:val="00AE4778"/>
    <w:rsid w:val="00AF1259"/>
    <w:rsid w:val="00AF1F2D"/>
    <w:rsid w:val="00AF275D"/>
    <w:rsid w:val="00AF2979"/>
    <w:rsid w:val="00AF2CAF"/>
    <w:rsid w:val="00AF310F"/>
    <w:rsid w:val="00AF3DE9"/>
    <w:rsid w:val="00AF48DF"/>
    <w:rsid w:val="00AF59AF"/>
    <w:rsid w:val="00AF66C7"/>
    <w:rsid w:val="00AF6CEB"/>
    <w:rsid w:val="00B0239A"/>
    <w:rsid w:val="00B0356C"/>
    <w:rsid w:val="00B059E0"/>
    <w:rsid w:val="00B070F7"/>
    <w:rsid w:val="00B076C4"/>
    <w:rsid w:val="00B07D49"/>
    <w:rsid w:val="00B14A8D"/>
    <w:rsid w:val="00B15AC1"/>
    <w:rsid w:val="00B166B1"/>
    <w:rsid w:val="00B21F50"/>
    <w:rsid w:val="00B22824"/>
    <w:rsid w:val="00B23069"/>
    <w:rsid w:val="00B249F3"/>
    <w:rsid w:val="00B24C18"/>
    <w:rsid w:val="00B2544F"/>
    <w:rsid w:val="00B254CD"/>
    <w:rsid w:val="00B2562D"/>
    <w:rsid w:val="00B25C85"/>
    <w:rsid w:val="00B25F13"/>
    <w:rsid w:val="00B267AA"/>
    <w:rsid w:val="00B31163"/>
    <w:rsid w:val="00B32705"/>
    <w:rsid w:val="00B34120"/>
    <w:rsid w:val="00B347AB"/>
    <w:rsid w:val="00B354E6"/>
    <w:rsid w:val="00B35F28"/>
    <w:rsid w:val="00B401B0"/>
    <w:rsid w:val="00B430FB"/>
    <w:rsid w:val="00B45695"/>
    <w:rsid w:val="00B464DC"/>
    <w:rsid w:val="00B47EF2"/>
    <w:rsid w:val="00B52021"/>
    <w:rsid w:val="00B53AE1"/>
    <w:rsid w:val="00B54CFE"/>
    <w:rsid w:val="00B557DE"/>
    <w:rsid w:val="00B55C11"/>
    <w:rsid w:val="00B620B8"/>
    <w:rsid w:val="00B632FA"/>
    <w:rsid w:val="00B636C8"/>
    <w:rsid w:val="00B63B61"/>
    <w:rsid w:val="00B64A08"/>
    <w:rsid w:val="00B70739"/>
    <w:rsid w:val="00B709BF"/>
    <w:rsid w:val="00B71952"/>
    <w:rsid w:val="00B72135"/>
    <w:rsid w:val="00B744E6"/>
    <w:rsid w:val="00B74DD2"/>
    <w:rsid w:val="00B75124"/>
    <w:rsid w:val="00B753D7"/>
    <w:rsid w:val="00B767A2"/>
    <w:rsid w:val="00B77A97"/>
    <w:rsid w:val="00B80F7B"/>
    <w:rsid w:val="00B81692"/>
    <w:rsid w:val="00B81DB9"/>
    <w:rsid w:val="00B827EA"/>
    <w:rsid w:val="00B8496D"/>
    <w:rsid w:val="00B84B5D"/>
    <w:rsid w:val="00B92DB2"/>
    <w:rsid w:val="00B932AC"/>
    <w:rsid w:val="00B93A62"/>
    <w:rsid w:val="00B94C6E"/>
    <w:rsid w:val="00BA06A8"/>
    <w:rsid w:val="00BA162B"/>
    <w:rsid w:val="00BA4FEC"/>
    <w:rsid w:val="00BA5E38"/>
    <w:rsid w:val="00BA626C"/>
    <w:rsid w:val="00BA63EE"/>
    <w:rsid w:val="00BA6481"/>
    <w:rsid w:val="00BA6D03"/>
    <w:rsid w:val="00BA6FBD"/>
    <w:rsid w:val="00BB5DB8"/>
    <w:rsid w:val="00BB647A"/>
    <w:rsid w:val="00BB6723"/>
    <w:rsid w:val="00BC0512"/>
    <w:rsid w:val="00BC0929"/>
    <w:rsid w:val="00BC2300"/>
    <w:rsid w:val="00BC255B"/>
    <w:rsid w:val="00BC2D91"/>
    <w:rsid w:val="00BC3345"/>
    <w:rsid w:val="00BC38B8"/>
    <w:rsid w:val="00BC460C"/>
    <w:rsid w:val="00BC491F"/>
    <w:rsid w:val="00BC53AC"/>
    <w:rsid w:val="00BC7978"/>
    <w:rsid w:val="00BD0411"/>
    <w:rsid w:val="00BD0CDB"/>
    <w:rsid w:val="00BD0E14"/>
    <w:rsid w:val="00BD14A7"/>
    <w:rsid w:val="00BD35B3"/>
    <w:rsid w:val="00BD545E"/>
    <w:rsid w:val="00BE186A"/>
    <w:rsid w:val="00BE22E8"/>
    <w:rsid w:val="00BE367E"/>
    <w:rsid w:val="00BE4E5D"/>
    <w:rsid w:val="00BE6205"/>
    <w:rsid w:val="00BE7E39"/>
    <w:rsid w:val="00BF16DD"/>
    <w:rsid w:val="00BF3109"/>
    <w:rsid w:val="00BF3BBA"/>
    <w:rsid w:val="00BF4A54"/>
    <w:rsid w:val="00BF55F4"/>
    <w:rsid w:val="00BF671D"/>
    <w:rsid w:val="00BF6930"/>
    <w:rsid w:val="00BF7BAD"/>
    <w:rsid w:val="00C01C2D"/>
    <w:rsid w:val="00C024FF"/>
    <w:rsid w:val="00C03E99"/>
    <w:rsid w:val="00C0584C"/>
    <w:rsid w:val="00C060E6"/>
    <w:rsid w:val="00C069AB"/>
    <w:rsid w:val="00C06FF7"/>
    <w:rsid w:val="00C07202"/>
    <w:rsid w:val="00C07218"/>
    <w:rsid w:val="00C10DD8"/>
    <w:rsid w:val="00C12C5D"/>
    <w:rsid w:val="00C13058"/>
    <w:rsid w:val="00C16CF6"/>
    <w:rsid w:val="00C17D5D"/>
    <w:rsid w:val="00C23001"/>
    <w:rsid w:val="00C25CE5"/>
    <w:rsid w:val="00C262F7"/>
    <w:rsid w:val="00C27400"/>
    <w:rsid w:val="00C32982"/>
    <w:rsid w:val="00C345AA"/>
    <w:rsid w:val="00C36552"/>
    <w:rsid w:val="00C36CB5"/>
    <w:rsid w:val="00C37F37"/>
    <w:rsid w:val="00C40846"/>
    <w:rsid w:val="00C45DE8"/>
    <w:rsid w:val="00C45E22"/>
    <w:rsid w:val="00C460A7"/>
    <w:rsid w:val="00C476CB"/>
    <w:rsid w:val="00C478C5"/>
    <w:rsid w:val="00C50277"/>
    <w:rsid w:val="00C51104"/>
    <w:rsid w:val="00C51314"/>
    <w:rsid w:val="00C52E83"/>
    <w:rsid w:val="00C5402A"/>
    <w:rsid w:val="00C55161"/>
    <w:rsid w:val="00C57920"/>
    <w:rsid w:val="00C61863"/>
    <w:rsid w:val="00C61D74"/>
    <w:rsid w:val="00C62463"/>
    <w:rsid w:val="00C62F8E"/>
    <w:rsid w:val="00C63B45"/>
    <w:rsid w:val="00C642EE"/>
    <w:rsid w:val="00C656C7"/>
    <w:rsid w:val="00C65E78"/>
    <w:rsid w:val="00C67CAE"/>
    <w:rsid w:val="00C7094F"/>
    <w:rsid w:val="00C71007"/>
    <w:rsid w:val="00C717CF"/>
    <w:rsid w:val="00C726FE"/>
    <w:rsid w:val="00C752EB"/>
    <w:rsid w:val="00C77421"/>
    <w:rsid w:val="00C77DAA"/>
    <w:rsid w:val="00C816EE"/>
    <w:rsid w:val="00C834C2"/>
    <w:rsid w:val="00C86CF3"/>
    <w:rsid w:val="00C8718C"/>
    <w:rsid w:val="00C8767D"/>
    <w:rsid w:val="00C90072"/>
    <w:rsid w:val="00C90193"/>
    <w:rsid w:val="00C9025F"/>
    <w:rsid w:val="00C9120F"/>
    <w:rsid w:val="00C914A7"/>
    <w:rsid w:val="00C946DF"/>
    <w:rsid w:val="00C95125"/>
    <w:rsid w:val="00C96C16"/>
    <w:rsid w:val="00C97AED"/>
    <w:rsid w:val="00CA0098"/>
    <w:rsid w:val="00CA0291"/>
    <w:rsid w:val="00CA2EC5"/>
    <w:rsid w:val="00CA34BC"/>
    <w:rsid w:val="00CA69A4"/>
    <w:rsid w:val="00CB0766"/>
    <w:rsid w:val="00CB1319"/>
    <w:rsid w:val="00CB2EC0"/>
    <w:rsid w:val="00CB2FD4"/>
    <w:rsid w:val="00CB31C9"/>
    <w:rsid w:val="00CB336E"/>
    <w:rsid w:val="00CB492C"/>
    <w:rsid w:val="00CB5075"/>
    <w:rsid w:val="00CB577D"/>
    <w:rsid w:val="00CB5F98"/>
    <w:rsid w:val="00CB6469"/>
    <w:rsid w:val="00CB74C9"/>
    <w:rsid w:val="00CC14E6"/>
    <w:rsid w:val="00CC2C30"/>
    <w:rsid w:val="00CC2C6B"/>
    <w:rsid w:val="00CC3062"/>
    <w:rsid w:val="00CC3AE4"/>
    <w:rsid w:val="00CC41C7"/>
    <w:rsid w:val="00CD2DE1"/>
    <w:rsid w:val="00CD30BF"/>
    <w:rsid w:val="00CD590B"/>
    <w:rsid w:val="00CD5BB0"/>
    <w:rsid w:val="00CE3342"/>
    <w:rsid w:val="00CE6CB0"/>
    <w:rsid w:val="00CF2F17"/>
    <w:rsid w:val="00CF4B5E"/>
    <w:rsid w:val="00CF7506"/>
    <w:rsid w:val="00CF7DC5"/>
    <w:rsid w:val="00D004AE"/>
    <w:rsid w:val="00D00726"/>
    <w:rsid w:val="00D02C5D"/>
    <w:rsid w:val="00D040B7"/>
    <w:rsid w:val="00D047E2"/>
    <w:rsid w:val="00D04CDF"/>
    <w:rsid w:val="00D05767"/>
    <w:rsid w:val="00D05A94"/>
    <w:rsid w:val="00D05B73"/>
    <w:rsid w:val="00D063E8"/>
    <w:rsid w:val="00D06828"/>
    <w:rsid w:val="00D13A7A"/>
    <w:rsid w:val="00D21255"/>
    <w:rsid w:val="00D21D8C"/>
    <w:rsid w:val="00D22B7C"/>
    <w:rsid w:val="00D24D3D"/>
    <w:rsid w:val="00D2517F"/>
    <w:rsid w:val="00D2599E"/>
    <w:rsid w:val="00D30202"/>
    <w:rsid w:val="00D30219"/>
    <w:rsid w:val="00D302F7"/>
    <w:rsid w:val="00D3095C"/>
    <w:rsid w:val="00D314A6"/>
    <w:rsid w:val="00D32A59"/>
    <w:rsid w:val="00D335A1"/>
    <w:rsid w:val="00D33A8F"/>
    <w:rsid w:val="00D33D67"/>
    <w:rsid w:val="00D345CB"/>
    <w:rsid w:val="00D3768E"/>
    <w:rsid w:val="00D4185C"/>
    <w:rsid w:val="00D43C6C"/>
    <w:rsid w:val="00D43CB8"/>
    <w:rsid w:val="00D43E49"/>
    <w:rsid w:val="00D44A00"/>
    <w:rsid w:val="00D504E0"/>
    <w:rsid w:val="00D5069F"/>
    <w:rsid w:val="00D520CD"/>
    <w:rsid w:val="00D52102"/>
    <w:rsid w:val="00D52B29"/>
    <w:rsid w:val="00D533F0"/>
    <w:rsid w:val="00D53F97"/>
    <w:rsid w:val="00D552C9"/>
    <w:rsid w:val="00D553B2"/>
    <w:rsid w:val="00D615BA"/>
    <w:rsid w:val="00D618BA"/>
    <w:rsid w:val="00D63207"/>
    <w:rsid w:val="00D6741F"/>
    <w:rsid w:val="00D67438"/>
    <w:rsid w:val="00D71330"/>
    <w:rsid w:val="00D730EE"/>
    <w:rsid w:val="00D73566"/>
    <w:rsid w:val="00D73AB4"/>
    <w:rsid w:val="00D7586F"/>
    <w:rsid w:val="00D76193"/>
    <w:rsid w:val="00D77127"/>
    <w:rsid w:val="00D77EFD"/>
    <w:rsid w:val="00D845EF"/>
    <w:rsid w:val="00D8737B"/>
    <w:rsid w:val="00D911A0"/>
    <w:rsid w:val="00D97782"/>
    <w:rsid w:val="00DA0F8B"/>
    <w:rsid w:val="00DA121A"/>
    <w:rsid w:val="00DA18B0"/>
    <w:rsid w:val="00DA1E11"/>
    <w:rsid w:val="00DA24E7"/>
    <w:rsid w:val="00DA29D3"/>
    <w:rsid w:val="00DA2A14"/>
    <w:rsid w:val="00DA37C0"/>
    <w:rsid w:val="00DA4646"/>
    <w:rsid w:val="00DA4C9A"/>
    <w:rsid w:val="00DA523C"/>
    <w:rsid w:val="00DA562E"/>
    <w:rsid w:val="00DB0D5F"/>
    <w:rsid w:val="00DB0F3F"/>
    <w:rsid w:val="00DB4AE3"/>
    <w:rsid w:val="00DB5BE3"/>
    <w:rsid w:val="00DB71EC"/>
    <w:rsid w:val="00DC1994"/>
    <w:rsid w:val="00DC2392"/>
    <w:rsid w:val="00DC3A2C"/>
    <w:rsid w:val="00DC42EB"/>
    <w:rsid w:val="00DC7743"/>
    <w:rsid w:val="00DD0D14"/>
    <w:rsid w:val="00DD1E38"/>
    <w:rsid w:val="00DD283A"/>
    <w:rsid w:val="00DD3BE5"/>
    <w:rsid w:val="00DE1B4F"/>
    <w:rsid w:val="00DE1D50"/>
    <w:rsid w:val="00DE1D53"/>
    <w:rsid w:val="00DE2139"/>
    <w:rsid w:val="00DE29C6"/>
    <w:rsid w:val="00DE4399"/>
    <w:rsid w:val="00DF0022"/>
    <w:rsid w:val="00DF2647"/>
    <w:rsid w:val="00DF3346"/>
    <w:rsid w:val="00DF4E42"/>
    <w:rsid w:val="00DF4F06"/>
    <w:rsid w:val="00DF5295"/>
    <w:rsid w:val="00DF57B1"/>
    <w:rsid w:val="00DF7918"/>
    <w:rsid w:val="00E00B56"/>
    <w:rsid w:val="00E04F13"/>
    <w:rsid w:val="00E07AA2"/>
    <w:rsid w:val="00E1025C"/>
    <w:rsid w:val="00E10BB1"/>
    <w:rsid w:val="00E1216D"/>
    <w:rsid w:val="00E14914"/>
    <w:rsid w:val="00E1778A"/>
    <w:rsid w:val="00E201CC"/>
    <w:rsid w:val="00E2206E"/>
    <w:rsid w:val="00E2366C"/>
    <w:rsid w:val="00E249F1"/>
    <w:rsid w:val="00E259A5"/>
    <w:rsid w:val="00E31442"/>
    <w:rsid w:val="00E337CC"/>
    <w:rsid w:val="00E3386E"/>
    <w:rsid w:val="00E34F7D"/>
    <w:rsid w:val="00E401FF"/>
    <w:rsid w:val="00E413AE"/>
    <w:rsid w:val="00E43E6B"/>
    <w:rsid w:val="00E462EF"/>
    <w:rsid w:val="00E4757F"/>
    <w:rsid w:val="00E504B7"/>
    <w:rsid w:val="00E51486"/>
    <w:rsid w:val="00E53BA4"/>
    <w:rsid w:val="00E55075"/>
    <w:rsid w:val="00E55D8F"/>
    <w:rsid w:val="00E56F33"/>
    <w:rsid w:val="00E614CC"/>
    <w:rsid w:val="00E61603"/>
    <w:rsid w:val="00E61FDA"/>
    <w:rsid w:val="00E622EA"/>
    <w:rsid w:val="00E642B2"/>
    <w:rsid w:val="00E64436"/>
    <w:rsid w:val="00E6516C"/>
    <w:rsid w:val="00E66D7B"/>
    <w:rsid w:val="00E709BF"/>
    <w:rsid w:val="00E72F93"/>
    <w:rsid w:val="00E7314D"/>
    <w:rsid w:val="00E74300"/>
    <w:rsid w:val="00E746AF"/>
    <w:rsid w:val="00E74A1B"/>
    <w:rsid w:val="00E7746D"/>
    <w:rsid w:val="00E813A4"/>
    <w:rsid w:val="00E81AA7"/>
    <w:rsid w:val="00E82537"/>
    <w:rsid w:val="00E838BD"/>
    <w:rsid w:val="00E842F5"/>
    <w:rsid w:val="00E85FEF"/>
    <w:rsid w:val="00E86974"/>
    <w:rsid w:val="00E90825"/>
    <w:rsid w:val="00E90C37"/>
    <w:rsid w:val="00E91062"/>
    <w:rsid w:val="00E96CA3"/>
    <w:rsid w:val="00E976D7"/>
    <w:rsid w:val="00EA1DC0"/>
    <w:rsid w:val="00EA2954"/>
    <w:rsid w:val="00EA4CCA"/>
    <w:rsid w:val="00EB1912"/>
    <w:rsid w:val="00EB4437"/>
    <w:rsid w:val="00EB4B66"/>
    <w:rsid w:val="00EB5F98"/>
    <w:rsid w:val="00EB7BE3"/>
    <w:rsid w:val="00EC0429"/>
    <w:rsid w:val="00EC15FD"/>
    <w:rsid w:val="00EC21ED"/>
    <w:rsid w:val="00EC3618"/>
    <w:rsid w:val="00EC652E"/>
    <w:rsid w:val="00EC74F3"/>
    <w:rsid w:val="00ED1FB1"/>
    <w:rsid w:val="00ED2AF0"/>
    <w:rsid w:val="00ED4E55"/>
    <w:rsid w:val="00ED59BA"/>
    <w:rsid w:val="00ED63FB"/>
    <w:rsid w:val="00EE0434"/>
    <w:rsid w:val="00EE0D4B"/>
    <w:rsid w:val="00EE1F56"/>
    <w:rsid w:val="00EE2F0B"/>
    <w:rsid w:val="00EE4A7F"/>
    <w:rsid w:val="00EE4ECD"/>
    <w:rsid w:val="00EE6189"/>
    <w:rsid w:val="00EE76C4"/>
    <w:rsid w:val="00EF0194"/>
    <w:rsid w:val="00EF09BD"/>
    <w:rsid w:val="00EF0CAF"/>
    <w:rsid w:val="00EF1442"/>
    <w:rsid w:val="00EF2782"/>
    <w:rsid w:val="00EF40E0"/>
    <w:rsid w:val="00EF4C3B"/>
    <w:rsid w:val="00EF74E0"/>
    <w:rsid w:val="00F00885"/>
    <w:rsid w:val="00F00BB8"/>
    <w:rsid w:val="00F01F40"/>
    <w:rsid w:val="00F02169"/>
    <w:rsid w:val="00F03C46"/>
    <w:rsid w:val="00F07CCA"/>
    <w:rsid w:val="00F11AB7"/>
    <w:rsid w:val="00F131DD"/>
    <w:rsid w:val="00F13CAA"/>
    <w:rsid w:val="00F1486F"/>
    <w:rsid w:val="00F1495A"/>
    <w:rsid w:val="00F1560F"/>
    <w:rsid w:val="00F16327"/>
    <w:rsid w:val="00F17668"/>
    <w:rsid w:val="00F2001A"/>
    <w:rsid w:val="00F203E8"/>
    <w:rsid w:val="00F20990"/>
    <w:rsid w:val="00F20D5C"/>
    <w:rsid w:val="00F2350E"/>
    <w:rsid w:val="00F23E4D"/>
    <w:rsid w:val="00F26571"/>
    <w:rsid w:val="00F26E66"/>
    <w:rsid w:val="00F27223"/>
    <w:rsid w:val="00F32E15"/>
    <w:rsid w:val="00F35813"/>
    <w:rsid w:val="00F36D72"/>
    <w:rsid w:val="00F3736D"/>
    <w:rsid w:val="00F37864"/>
    <w:rsid w:val="00F37D5D"/>
    <w:rsid w:val="00F40C0A"/>
    <w:rsid w:val="00F40DA5"/>
    <w:rsid w:val="00F42121"/>
    <w:rsid w:val="00F42516"/>
    <w:rsid w:val="00F44C9D"/>
    <w:rsid w:val="00F45979"/>
    <w:rsid w:val="00F51E94"/>
    <w:rsid w:val="00F521F7"/>
    <w:rsid w:val="00F52835"/>
    <w:rsid w:val="00F568B5"/>
    <w:rsid w:val="00F57032"/>
    <w:rsid w:val="00F64A58"/>
    <w:rsid w:val="00F6503E"/>
    <w:rsid w:val="00F654E7"/>
    <w:rsid w:val="00F66FDC"/>
    <w:rsid w:val="00F670DC"/>
    <w:rsid w:val="00F6779B"/>
    <w:rsid w:val="00F700F9"/>
    <w:rsid w:val="00F7114C"/>
    <w:rsid w:val="00F72BD9"/>
    <w:rsid w:val="00F7308E"/>
    <w:rsid w:val="00F741D1"/>
    <w:rsid w:val="00F7561C"/>
    <w:rsid w:val="00F75D39"/>
    <w:rsid w:val="00F7654C"/>
    <w:rsid w:val="00F84C3F"/>
    <w:rsid w:val="00F85EF0"/>
    <w:rsid w:val="00F87853"/>
    <w:rsid w:val="00F87953"/>
    <w:rsid w:val="00F87F43"/>
    <w:rsid w:val="00F9127E"/>
    <w:rsid w:val="00F929A1"/>
    <w:rsid w:val="00F934D6"/>
    <w:rsid w:val="00FA0709"/>
    <w:rsid w:val="00FA403B"/>
    <w:rsid w:val="00FA5A6F"/>
    <w:rsid w:val="00FA60AA"/>
    <w:rsid w:val="00FA6100"/>
    <w:rsid w:val="00FA68DA"/>
    <w:rsid w:val="00FA701C"/>
    <w:rsid w:val="00FB0C07"/>
    <w:rsid w:val="00FB0C71"/>
    <w:rsid w:val="00FB1939"/>
    <w:rsid w:val="00FB1E67"/>
    <w:rsid w:val="00FB2E55"/>
    <w:rsid w:val="00FB3017"/>
    <w:rsid w:val="00FB3F63"/>
    <w:rsid w:val="00FB4E5D"/>
    <w:rsid w:val="00FB4EB7"/>
    <w:rsid w:val="00FB6DB7"/>
    <w:rsid w:val="00FC1058"/>
    <w:rsid w:val="00FC609B"/>
    <w:rsid w:val="00FC6E0B"/>
    <w:rsid w:val="00FC776C"/>
    <w:rsid w:val="00FD45E4"/>
    <w:rsid w:val="00FD70DA"/>
    <w:rsid w:val="00FE06D2"/>
    <w:rsid w:val="00FE25B7"/>
    <w:rsid w:val="00FE30D1"/>
    <w:rsid w:val="00FE37DB"/>
    <w:rsid w:val="00FE4D17"/>
    <w:rsid w:val="00FE5A48"/>
    <w:rsid w:val="00FE5F15"/>
    <w:rsid w:val="00FE5FBD"/>
    <w:rsid w:val="00FE71F1"/>
    <w:rsid w:val="00FE7E05"/>
    <w:rsid w:val="00FF0F91"/>
    <w:rsid w:val="00FF1E6F"/>
    <w:rsid w:val="00FF30C1"/>
    <w:rsid w:val="00FF54A7"/>
    <w:rsid w:val="00FF59DC"/>
    <w:rsid w:val="00FF5DEA"/>
    <w:rsid w:val="00FF6C1C"/>
    <w:rsid w:val="00FF7D64"/>
    <w:rsid w:val="038686E3"/>
    <w:rsid w:val="0568058C"/>
    <w:rsid w:val="05B8DA7D"/>
    <w:rsid w:val="0724535D"/>
    <w:rsid w:val="07AE4154"/>
    <w:rsid w:val="09D62A89"/>
    <w:rsid w:val="0E9C61B4"/>
    <w:rsid w:val="0EB51F9F"/>
    <w:rsid w:val="0F1B951C"/>
    <w:rsid w:val="0F4F1964"/>
    <w:rsid w:val="103366ED"/>
    <w:rsid w:val="11EBF618"/>
    <w:rsid w:val="1544ABC2"/>
    <w:rsid w:val="17EF5546"/>
    <w:rsid w:val="19FAC6A3"/>
    <w:rsid w:val="1A6B5A4E"/>
    <w:rsid w:val="1AB83DC8"/>
    <w:rsid w:val="1C4F700A"/>
    <w:rsid w:val="2020EDEB"/>
    <w:rsid w:val="218C8F04"/>
    <w:rsid w:val="23591A68"/>
    <w:rsid w:val="236A2F26"/>
    <w:rsid w:val="250D4698"/>
    <w:rsid w:val="25F483F4"/>
    <w:rsid w:val="27F6B021"/>
    <w:rsid w:val="2911AF1A"/>
    <w:rsid w:val="2A2A8209"/>
    <w:rsid w:val="2B6B5B47"/>
    <w:rsid w:val="2D79BABB"/>
    <w:rsid w:val="2EA2C938"/>
    <w:rsid w:val="2F4A0D58"/>
    <w:rsid w:val="2F72E9D2"/>
    <w:rsid w:val="2FAB3D05"/>
    <w:rsid w:val="2FF21AC6"/>
    <w:rsid w:val="3056C5D7"/>
    <w:rsid w:val="3142CE15"/>
    <w:rsid w:val="320735A6"/>
    <w:rsid w:val="329BD296"/>
    <w:rsid w:val="32DDBDD8"/>
    <w:rsid w:val="33320DB5"/>
    <w:rsid w:val="33DBBE54"/>
    <w:rsid w:val="3492AC55"/>
    <w:rsid w:val="3668D910"/>
    <w:rsid w:val="36C57DBB"/>
    <w:rsid w:val="3A42C339"/>
    <w:rsid w:val="3A8D5777"/>
    <w:rsid w:val="3AA3BD4D"/>
    <w:rsid w:val="3DE0563D"/>
    <w:rsid w:val="3E2482E3"/>
    <w:rsid w:val="40F080B7"/>
    <w:rsid w:val="422DFCCF"/>
    <w:rsid w:val="4379D923"/>
    <w:rsid w:val="438DBFE6"/>
    <w:rsid w:val="439931A1"/>
    <w:rsid w:val="4772B8CC"/>
    <w:rsid w:val="486DE2F1"/>
    <w:rsid w:val="48BFBF94"/>
    <w:rsid w:val="494ED776"/>
    <w:rsid w:val="49777442"/>
    <w:rsid w:val="4B48C628"/>
    <w:rsid w:val="4B805B87"/>
    <w:rsid w:val="4C72D4E9"/>
    <w:rsid w:val="4C9CB5AB"/>
    <w:rsid w:val="4D112F64"/>
    <w:rsid w:val="4E41FCBB"/>
    <w:rsid w:val="4F7C5711"/>
    <w:rsid w:val="50398D8D"/>
    <w:rsid w:val="51B2DDA8"/>
    <w:rsid w:val="51DB15CD"/>
    <w:rsid w:val="51E8D493"/>
    <w:rsid w:val="523A3AD5"/>
    <w:rsid w:val="56291A61"/>
    <w:rsid w:val="577684EE"/>
    <w:rsid w:val="57AC6C15"/>
    <w:rsid w:val="57C3CE0A"/>
    <w:rsid w:val="57D5A059"/>
    <w:rsid w:val="58A7E8C2"/>
    <w:rsid w:val="5A7B643E"/>
    <w:rsid w:val="5C049A7B"/>
    <w:rsid w:val="5E383992"/>
    <w:rsid w:val="6067461D"/>
    <w:rsid w:val="60CA1AA9"/>
    <w:rsid w:val="6211C19F"/>
    <w:rsid w:val="6221CD86"/>
    <w:rsid w:val="6439E1EC"/>
    <w:rsid w:val="64A1B99A"/>
    <w:rsid w:val="64F42CBA"/>
    <w:rsid w:val="659C6CF9"/>
    <w:rsid w:val="66A03BD3"/>
    <w:rsid w:val="67B5AB26"/>
    <w:rsid w:val="68644459"/>
    <w:rsid w:val="6A6F3AE7"/>
    <w:rsid w:val="6A8D419A"/>
    <w:rsid w:val="6B2696AB"/>
    <w:rsid w:val="6B83D98F"/>
    <w:rsid w:val="6C4E478C"/>
    <w:rsid w:val="6D78237C"/>
    <w:rsid w:val="6D8171C8"/>
    <w:rsid w:val="6F525F07"/>
    <w:rsid w:val="70CE169F"/>
    <w:rsid w:val="70D09518"/>
    <w:rsid w:val="71C30882"/>
    <w:rsid w:val="725740CB"/>
    <w:rsid w:val="73FE951F"/>
    <w:rsid w:val="741E2879"/>
    <w:rsid w:val="744E3B90"/>
    <w:rsid w:val="75082575"/>
    <w:rsid w:val="756D99D4"/>
    <w:rsid w:val="77194446"/>
    <w:rsid w:val="782FA3FB"/>
    <w:rsid w:val="787C6AF9"/>
    <w:rsid w:val="799175A5"/>
    <w:rsid w:val="7B15E411"/>
    <w:rsid w:val="7B7FA60C"/>
    <w:rsid w:val="7D1FD805"/>
    <w:rsid w:val="7EE5F1D8"/>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308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37"/>
    <w:pPr>
      <w:spacing w:line="480" w:lineRule="auto"/>
      <w:ind w:firstLine="709"/>
    </w:pPr>
    <w:rPr>
      <w:rFonts w:ascii="Times New Roman" w:eastAsia="Calibri" w:hAnsi="Times New Roman" w:cs="Times New Roman"/>
      <w:szCs w:val="22"/>
      <w:lang w:eastAsia="es-ES_tradnl"/>
    </w:rPr>
  </w:style>
  <w:style w:type="paragraph" w:styleId="Ttulo1">
    <w:name w:val="heading 1"/>
    <w:basedOn w:val="Normal"/>
    <w:next w:val="Normal"/>
    <w:link w:val="Ttulo1Car"/>
    <w:uiPriority w:val="9"/>
    <w:qFormat/>
    <w:rsid w:val="004B3CCD"/>
    <w:pPr>
      <w:jc w:val="center"/>
      <w:outlineLvl w:val="0"/>
    </w:pPr>
    <w:rPr>
      <w:rFonts w:eastAsia="Times New Roman"/>
      <w:b/>
      <w:bCs/>
    </w:rPr>
  </w:style>
  <w:style w:type="paragraph" w:styleId="Ttulo2">
    <w:name w:val="heading 2"/>
    <w:basedOn w:val="Normal"/>
    <w:next w:val="Normal"/>
    <w:link w:val="Ttulo2Car"/>
    <w:uiPriority w:val="9"/>
    <w:unhideWhenUsed/>
    <w:qFormat/>
    <w:rsid w:val="002E053E"/>
    <w:pPr>
      <w:keepNext/>
      <w:keepLines/>
      <w:ind w:left="397" w:hanging="397"/>
      <w:outlineLvl w:val="1"/>
    </w:pPr>
    <w:rPr>
      <w:rFonts w:eastAsia="Times New Roman"/>
      <w:b/>
      <w:bCs/>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CCD"/>
    <w:rPr>
      <w:rFonts w:ascii="Times New Roman" w:eastAsia="Times New Roman" w:hAnsi="Times New Roman" w:cs="Times New Roman"/>
      <w:b/>
      <w:bCs/>
      <w:szCs w:val="22"/>
      <w:lang w:val="es" w:eastAsia="es-ES_tradnl"/>
    </w:rPr>
  </w:style>
  <w:style w:type="character" w:customStyle="1" w:styleId="Ttulo2Car">
    <w:name w:val="Título 2 Car"/>
    <w:basedOn w:val="Fuentedeprrafopredeter"/>
    <w:link w:val="Ttulo2"/>
    <w:uiPriority w:val="9"/>
    <w:rsid w:val="002E053E"/>
    <w:rPr>
      <w:rFonts w:ascii="Times New Roman" w:eastAsia="Times New Roman" w:hAnsi="Times New Roman" w:cs="Times New Roman"/>
      <w:b/>
      <w:bCs/>
      <w:i/>
      <w:iCs/>
      <w:lang w:val="es" w:eastAsia="es-ES_tradnl"/>
    </w:rPr>
  </w:style>
  <w:style w:type="character" w:styleId="Hipervnculo">
    <w:name w:val="Hyperlink"/>
    <w:uiPriority w:val="99"/>
    <w:unhideWhenUsed/>
    <w:rsid w:val="004B3CCD"/>
    <w:rPr>
      <w:color w:val="0563C1"/>
      <w:u w:val="single"/>
    </w:rPr>
  </w:style>
  <w:style w:type="paragraph" w:styleId="Descripcin">
    <w:name w:val="caption"/>
    <w:basedOn w:val="Normal"/>
    <w:next w:val="Normal"/>
    <w:uiPriority w:val="35"/>
    <w:unhideWhenUsed/>
    <w:qFormat/>
    <w:rsid w:val="004B3CCD"/>
    <w:pPr>
      <w:spacing w:before="120" w:line="240" w:lineRule="auto"/>
    </w:pPr>
    <w:rPr>
      <w:b/>
      <w:iCs/>
      <w:szCs w:val="18"/>
    </w:rPr>
  </w:style>
  <w:style w:type="paragraph" w:styleId="Piedepgina">
    <w:name w:val="footer"/>
    <w:basedOn w:val="Normal"/>
    <w:link w:val="PiedepginaCar"/>
    <w:uiPriority w:val="99"/>
    <w:unhideWhenUsed/>
    <w:rsid w:val="004B3C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3CCD"/>
    <w:rPr>
      <w:rFonts w:ascii="Times New Roman" w:eastAsia="Calibri" w:hAnsi="Times New Roman" w:cs="Times New Roman"/>
      <w:szCs w:val="22"/>
      <w:lang w:val="es" w:eastAsia="es-ES_tradnl"/>
    </w:rPr>
  </w:style>
  <w:style w:type="character" w:styleId="Nmerodepgina">
    <w:name w:val="page number"/>
    <w:basedOn w:val="Fuentedeprrafopredeter"/>
    <w:uiPriority w:val="99"/>
    <w:semiHidden/>
    <w:unhideWhenUsed/>
    <w:rsid w:val="004B3CCD"/>
  </w:style>
  <w:style w:type="character" w:styleId="Nmerodelnea">
    <w:name w:val="line number"/>
    <w:basedOn w:val="Fuentedeprrafopredeter"/>
    <w:uiPriority w:val="99"/>
    <w:semiHidden/>
    <w:unhideWhenUsed/>
    <w:rsid w:val="00323444"/>
  </w:style>
  <w:style w:type="character" w:styleId="Refdecomentario">
    <w:name w:val="annotation reference"/>
    <w:basedOn w:val="Fuentedeprrafopredeter"/>
    <w:uiPriority w:val="99"/>
    <w:semiHidden/>
    <w:unhideWhenUsed/>
    <w:rsid w:val="009476C3"/>
    <w:rPr>
      <w:sz w:val="16"/>
      <w:szCs w:val="16"/>
    </w:rPr>
  </w:style>
  <w:style w:type="paragraph" w:styleId="Textocomentario">
    <w:name w:val="annotation text"/>
    <w:basedOn w:val="Normal"/>
    <w:link w:val="TextocomentarioCar"/>
    <w:uiPriority w:val="99"/>
    <w:unhideWhenUsed/>
    <w:rsid w:val="009476C3"/>
    <w:pPr>
      <w:spacing w:line="240" w:lineRule="auto"/>
    </w:pPr>
    <w:rPr>
      <w:sz w:val="20"/>
      <w:szCs w:val="20"/>
    </w:rPr>
  </w:style>
  <w:style w:type="character" w:customStyle="1" w:styleId="TextocomentarioCar">
    <w:name w:val="Texto comentario Car"/>
    <w:basedOn w:val="Fuentedeprrafopredeter"/>
    <w:link w:val="Textocomentario"/>
    <w:uiPriority w:val="99"/>
    <w:rsid w:val="009476C3"/>
    <w:rPr>
      <w:rFonts w:ascii="Times New Roman" w:eastAsia="Calibri" w:hAnsi="Times New Roman" w:cs="Times New Roman"/>
      <w:sz w:val="20"/>
      <w:szCs w:val="20"/>
      <w:lang w:val="es" w:eastAsia="es-ES_tradnl"/>
    </w:rPr>
  </w:style>
  <w:style w:type="paragraph" w:styleId="Asuntodelcomentario">
    <w:name w:val="annotation subject"/>
    <w:basedOn w:val="Textocomentario"/>
    <w:next w:val="Textocomentario"/>
    <w:link w:val="AsuntodelcomentarioCar"/>
    <w:uiPriority w:val="99"/>
    <w:semiHidden/>
    <w:unhideWhenUsed/>
    <w:rsid w:val="009476C3"/>
    <w:rPr>
      <w:b/>
      <w:bCs/>
    </w:rPr>
  </w:style>
  <w:style w:type="character" w:customStyle="1" w:styleId="AsuntodelcomentarioCar">
    <w:name w:val="Asunto del comentario Car"/>
    <w:basedOn w:val="TextocomentarioCar"/>
    <w:link w:val="Asuntodelcomentario"/>
    <w:uiPriority w:val="99"/>
    <w:semiHidden/>
    <w:rsid w:val="009476C3"/>
    <w:rPr>
      <w:rFonts w:ascii="Times New Roman" w:eastAsia="Calibri" w:hAnsi="Times New Roman" w:cs="Times New Roman"/>
      <w:b/>
      <w:bCs/>
      <w:sz w:val="20"/>
      <w:szCs w:val="20"/>
      <w:lang w:val="es" w:eastAsia="es-ES_tradnl"/>
    </w:rPr>
  </w:style>
  <w:style w:type="paragraph" w:styleId="Encabezado">
    <w:name w:val="header"/>
    <w:basedOn w:val="Normal"/>
    <w:link w:val="EncabezadoCar"/>
    <w:uiPriority w:val="99"/>
    <w:unhideWhenUsed/>
    <w:rsid w:val="002D7D9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D7D99"/>
    <w:rPr>
      <w:rFonts w:ascii="Times New Roman" w:eastAsia="Calibri" w:hAnsi="Times New Roman" w:cs="Times New Roman"/>
      <w:szCs w:val="22"/>
      <w:lang w:val="es" w:eastAsia="es-ES_tradnl"/>
    </w:rPr>
  </w:style>
  <w:style w:type="character" w:customStyle="1" w:styleId="UnresolvedMention1">
    <w:name w:val="Unresolved Mention1"/>
    <w:basedOn w:val="Fuentedeprrafopredeter"/>
    <w:uiPriority w:val="99"/>
    <w:rsid w:val="00327F82"/>
    <w:rPr>
      <w:color w:val="605E5C"/>
      <w:shd w:val="clear" w:color="auto" w:fill="E1DFDD"/>
    </w:rPr>
  </w:style>
  <w:style w:type="paragraph" w:styleId="Sinespaciado">
    <w:name w:val="No Spacing"/>
    <w:basedOn w:val="Normal"/>
    <w:uiPriority w:val="1"/>
    <w:qFormat/>
    <w:rsid w:val="001F383C"/>
    <w:pPr>
      <w:spacing w:line="240" w:lineRule="auto"/>
      <w:ind w:firstLine="0"/>
    </w:pPr>
    <w:rPr>
      <w:rFonts w:eastAsia="Times New Roman"/>
      <w:color w:val="000000"/>
      <w:sz w:val="16"/>
      <w:szCs w:val="16"/>
      <w:lang w:eastAsia="es-EC"/>
    </w:rPr>
  </w:style>
  <w:style w:type="paragraph" w:styleId="Revisin">
    <w:name w:val="Revision"/>
    <w:hidden/>
    <w:uiPriority w:val="99"/>
    <w:semiHidden/>
    <w:rsid w:val="00AF1F2D"/>
    <w:rPr>
      <w:rFonts w:ascii="Times New Roman" w:eastAsia="Calibri" w:hAnsi="Times New Roman" w:cs="Times New Roman"/>
      <w:szCs w:val="22"/>
      <w:lang w:eastAsia="es-ES_tradnl"/>
    </w:rPr>
  </w:style>
  <w:style w:type="character" w:customStyle="1" w:styleId="red-underline">
    <w:name w:val="red-underline"/>
    <w:basedOn w:val="Fuentedeprrafopredeter"/>
    <w:rsid w:val="001C2EDF"/>
  </w:style>
  <w:style w:type="paragraph" w:customStyle="1" w:styleId="Correspondencedetails">
    <w:name w:val="Correspondence details"/>
    <w:basedOn w:val="Normal"/>
    <w:qFormat/>
    <w:rsid w:val="003C5250"/>
    <w:pPr>
      <w:spacing w:before="240" w:line="360" w:lineRule="auto"/>
      <w:ind w:firstLine="0"/>
    </w:pPr>
    <w:rPr>
      <w:rFonts w:eastAsia="Times New Roman"/>
      <w:szCs w:val="24"/>
      <w:lang w:eastAsia="en-GB"/>
    </w:rPr>
  </w:style>
  <w:style w:type="character" w:styleId="Hipervnculovisitado">
    <w:name w:val="FollowedHyperlink"/>
    <w:basedOn w:val="Fuentedeprrafopredeter"/>
    <w:uiPriority w:val="99"/>
    <w:semiHidden/>
    <w:unhideWhenUsed/>
    <w:rsid w:val="001C4048"/>
    <w:rPr>
      <w:color w:val="954F72" w:themeColor="followedHyperlink"/>
      <w:u w:val="single"/>
    </w:rPr>
  </w:style>
  <w:style w:type="character" w:styleId="Mencinsinresolver">
    <w:name w:val="Unresolved Mention"/>
    <w:basedOn w:val="Fuentedeprrafopredeter"/>
    <w:uiPriority w:val="99"/>
    <w:rsid w:val="00C51314"/>
    <w:rPr>
      <w:color w:val="605E5C"/>
      <w:shd w:val="clear" w:color="auto" w:fill="E1DFDD"/>
    </w:rPr>
  </w:style>
  <w:style w:type="paragraph" w:styleId="Prrafodelista">
    <w:name w:val="List Paragraph"/>
    <w:basedOn w:val="Normal"/>
    <w:uiPriority w:val="34"/>
    <w:qFormat/>
    <w:rsid w:val="00D21D8C"/>
    <w:pPr>
      <w:spacing w:line="240" w:lineRule="auto"/>
      <w:ind w:left="720" w:firstLine="0"/>
      <w:contextualSpacing/>
    </w:pPr>
    <w:rPr>
      <w:rFonts w:asciiTheme="minorHAnsi" w:eastAsiaTheme="minorHAnsi" w:hAnsiTheme="minorHAnsi" w:cstheme="minorBidi"/>
      <w:szCs w:val="24"/>
      <w:lang w:eastAsia="en-US"/>
    </w:rPr>
  </w:style>
  <w:style w:type="paragraph" w:customStyle="1" w:styleId="pf0">
    <w:name w:val="pf0"/>
    <w:basedOn w:val="Normal"/>
    <w:rsid w:val="00BA6FBD"/>
    <w:pPr>
      <w:spacing w:before="100" w:beforeAutospacing="1" w:after="100" w:afterAutospacing="1" w:line="240" w:lineRule="auto"/>
      <w:ind w:firstLine="0"/>
    </w:pPr>
    <w:rPr>
      <w:rFonts w:eastAsia="Times New Roman"/>
      <w:szCs w:val="24"/>
      <w:lang w:eastAsia="es-EC"/>
    </w:rPr>
  </w:style>
  <w:style w:type="character" w:customStyle="1" w:styleId="cf01">
    <w:name w:val="cf01"/>
    <w:basedOn w:val="Fuentedeprrafopredeter"/>
    <w:rsid w:val="00BA6FBD"/>
    <w:rPr>
      <w:rFonts w:ascii="Segoe UI" w:hAnsi="Segoe UI" w:cs="Segoe UI" w:hint="default"/>
      <w:sz w:val="18"/>
      <w:szCs w:val="18"/>
    </w:rPr>
  </w:style>
  <w:style w:type="paragraph" w:styleId="NormalWeb">
    <w:name w:val="Normal (Web)"/>
    <w:basedOn w:val="Normal"/>
    <w:uiPriority w:val="99"/>
    <w:semiHidden/>
    <w:unhideWhenUsed/>
    <w:rsid w:val="00FB6DB7"/>
    <w:pPr>
      <w:spacing w:before="100" w:beforeAutospacing="1" w:after="100" w:afterAutospacing="1" w:line="240" w:lineRule="auto"/>
      <w:ind w:firstLine="0"/>
    </w:pPr>
    <w:rPr>
      <w:rFonts w:eastAsia="Times New Roman"/>
      <w:szCs w:val="24"/>
      <w:lang w:eastAsia="es-EC"/>
    </w:rPr>
  </w:style>
  <w:style w:type="paragraph" w:customStyle="1" w:styleId="Authornames">
    <w:name w:val="Author names"/>
    <w:basedOn w:val="Normal"/>
    <w:next w:val="Normal"/>
    <w:qFormat/>
    <w:rsid w:val="00B166B1"/>
    <w:pPr>
      <w:spacing w:before="240" w:line="360" w:lineRule="auto"/>
      <w:ind w:firstLine="0"/>
    </w:pPr>
    <w:rPr>
      <w:rFonts w:eastAsia="Times New Roman"/>
      <w:sz w:val="28"/>
      <w:szCs w:val="24"/>
      <w:lang w:eastAsia="en-GB"/>
    </w:rPr>
  </w:style>
  <w:style w:type="paragraph" w:customStyle="1" w:styleId="Affiliation">
    <w:name w:val="Affiliation"/>
    <w:basedOn w:val="Normal"/>
    <w:qFormat/>
    <w:rsid w:val="00B166B1"/>
    <w:pPr>
      <w:spacing w:before="240" w:line="360" w:lineRule="auto"/>
      <w:ind w:firstLine="0"/>
    </w:pPr>
    <w:rPr>
      <w:rFonts w:eastAsia="Times New Roman"/>
      <w:i/>
      <w:szCs w:val="24"/>
      <w:lang w:eastAsia="en-GB"/>
    </w:rPr>
  </w:style>
  <w:style w:type="table" w:styleId="Tablaconcuadrcula">
    <w:name w:val="Table Grid"/>
    <w:basedOn w:val="Tablanormal"/>
    <w:uiPriority w:val="39"/>
    <w:rsid w:val="00B0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101">
      <w:bodyDiv w:val="1"/>
      <w:marLeft w:val="0"/>
      <w:marRight w:val="0"/>
      <w:marTop w:val="0"/>
      <w:marBottom w:val="0"/>
      <w:divBdr>
        <w:top w:val="none" w:sz="0" w:space="0" w:color="auto"/>
        <w:left w:val="none" w:sz="0" w:space="0" w:color="auto"/>
        <w:bottom w:val="none" w:sz="0" w:space="0" w:color="auto"/>
        <w:right w:val="none" w:sz="0" w:space="0" w:color="auto"/>
      </w:divBdr>
    </w:div>
    <w:div w:id="333844708">
      <w:bodyDiv w:val="1"/>
      <w:marLeft w:val="0"/>
      <w:marRight w:val="0"/>
      <w:marTop w:val="0"/>
      <w:marBottom w:val="0"/>
      <w:divBdr>
        <w:top w:val="none" w:sz="0" w:space="0" w:color="auto"/>
        <w:left w:val="none" w:sz="0" w:space="0" w:color="auto"/>
        <w:bottom w:val="none" w:sz="0" w:space="0" w:color="auto"/>
        <w:right w:val="none" w:sz="0" w:space="0" w:color="auto"/>
      </w:divBdr>
    </w:div>
    <w:div w:id="981931500">
      <w:bodyDiv w:val="1"/>
      <w:marLeft w:val="0"/>
      <w:marRight w:val="0"/>
      <w:marTop w:val="0"/>
      <w:marBottom w:val="0"/>
      <w:divBdr>
        <w:top w:val="none" w:sz="0" w:space="0" w:color="auto"/>
        <w:left w:val="none" w:sz="0" w:space="0" w:color="auto"/>
        <w:bottom w:val="none" w:sz="0" w:space="0" w:color="auto"/>
        <w:right w:val="none" w:sz="0" w:space="0" w:color="auto"/>
      </w:divBdr>
    </w:div>
    <w:div w:id="1075783353">
      <w:bodyDiv w:val="1"/>
      <w:marLeft w:val="0"/>
      <w:marRight w:val="0"/>
      <w:marTop w:val="0"/>
      <w:marBottom w:val="0"/>
      <w:divBdr>
        <w:top w:val="none" w:sz="0" w:space="0" w:color="auto"/>
        <w:left w:val="none" w:sz="0" w:space="0" w:color="auto"/>
        <w:bottom w:val="none" w:sz="0" w:space="0" w:color="auto"/>
        <w:right w:val="none" w:sz="0" w:space="0" w:color="auto"/>
      </w:divBdr>
    </w:div>
    <w:div w:id="1161042677">
      <w:bodyDiv w:val="1"/>
      <w:marLeft w:val="0"/>
      <w:marRight w:val="0"/>
      <w:marTop w:val="0"/>
      <w:marBottom w:val="0"/>
      <w:divBdr>
        <w:top w:val="none" w:sz="0" w:space="0" w:color="auto"/>
        <w:left w:val="none" w:sz="0" w:space="0" w:color="auto"/>
        <w:bottom w:val="none" w:sz="0" w:space="0" w:color="auto"/>
        <w:right w:val="none" w:sz="0" w:space="0" w:color="auto"/>
      </w:divBdr>
    </w:div>
    <w:div w:id="1418330626">
      <w:bodyDiv w:val="1"/>
      <w:marLeft w:val="0"/>
      <w:marRight w:val="0"/>
      <w:marTop w:val="0"/>
      <w:marBottom w:val="0"/>
      <w:divBdr>
        <w:top w:val="none" w:sz="0" w:space="0" w:color="auto"/>
        <w:left w:val="none" w:sz="0" w:space="0" w:color="auto"/>
        <w:bottom w:val="none" w:sz="0" w:space="0" w:color="auto"/>
        <w:right w:val="none" w:sz="0" w:space="0" w:color="auto"/>
      </w:divBdr>
    </w:div>
    <w:div w:id="1548175849">
      <w:bodyDiv w:val="1"/>
      <w:marLeft w:val="0"/>
      <w:marRight w:val="0"/>
      <w:marTop w:val="0"/>
      <w:marBottom w:val="0"/>
      <w:divBdr>
        <w:top w:val="none" w:sz="0" w:space="0" w:color="auto"/>
        <w:left w:val="none" w:sz="0" w:space="0" w:color="auto"/>
        <w:bottom w:val="none" w:sz="0" w:space="0" w:color="auto"/>
        <w:right w:val="none" w:sz="0" w:space="0" w:color="auto"/>
      </w:divBdr>
    </w:div>
    <w:div w:id="15566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celo.bernal@ucuenca.edu.ec" TargetMode="External"/><Relationship Id="rId18" Type="http://schemas.openxmlformats.org/officeDocument/2006/relationships/hyperlink" Target="https://doi.org/10.1111/opo.12316" TargetMode="External"/><Relationship Id="rId26" Type="http://schemas.openxmlformats.org/officeDocument/2006/relationships/hyperlink" Target="https://doi.org/10.1111/j.1467-9817.2005.00274.x" TargetMode="External"/><Relationship Id="rId39" Type="http://schemas.openxmlformats.org/officeDocument/2006/relationships/hyperlink" Target="https://doi.org/10.5935/0004-2749.20210069" TargetMode="External"/><Relationship Id="rId21" Type="http://schemas.openxmlformats.org/officeDocument/2006/relationships/hyperlink" Target="https://doi.org/10.30554/tempuspsi.6.1.4733.2023" TargetMode="External"/><Relationship Id="rId34" Type="http://schemas.openxmlformats.org/officeDocument/2006/relationships/hyperlink" Target="https://doi.org/10.1046/j.1475-1313.2002.00009.x" TargetMode="External"/><Relationship Id="rId42" Type="http://schemas.openxmlformats.org/officeDocument/2006/relationships/hyperlink" Target="https://doi.org/10.1068/p5045"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3588/rn.36s1.2003068" TargetMode="External"/><Relationship Id="rId29" Type="http://schemas.openxmlformats.org/officeDocument/2006/relationships/hyperlink" Target="https://doi.org/10.1111/j.1444-0938.2008.00277.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osua@psi.uned.es" TargetMode="External"/><Relationship Id="rId24" Type="http://schemas.openxmlformats.org/officeDocument/2006/relationships/hyperlink" Target="https://www.ecuadorencifras.gob.ec/encuesta-de-estratificacion-del-nivel-socioeconomico/" TargetMode="External"/><Relationship Id="rId32" Type="http://schemas.openxmlformats.org/officeDocument/2006/relationships/hyperlink" Target="https://doi.org/10.1542/peds.2011-0314" TargetMode="External"/><Relationship Id="rId37" Type="http://schemas.openxmlformats.org/officeDocument/2006/relationships/hyperlink" Target="https://doi.org/10.18537/mskn.09.01.02" TargetMode="External"/><Relationship Id="rId40" Type="http://schemas.openxmlformats.org/officeDocument/2006/relationships/hyperlink" Target="https://doi.org/10.1111/1467-9817.00132"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aic.org.au/images/books/Understanding_Irlen_Syndrome_Booklet.pdf" TargetMode="External"/><Relationship Id="rId23" Type="http://schemas.openxmlformats.org/officeDocument/2006/relationships/hyperlink" Target="https://doi.org/10.1007/s11145-021-10176-z" TargetMode="External"/><Relationship Id="rId28" Type="http://schemas.openxmlformats.org/officeDocument/2006/relationships/hyperlink" Target="https://doi.org/10.1016/j.optom.2014.10.001" TargetMode="External"/><Relationship Id="rId36" Type="http://schemas.openxmlformats.org/officeDocument/2006/relationships/hyperlink" Target="https://doi.org/10.3390/brainsci8020026" TargetMode="External"/><Relationship Id="rId10" Type="http://schemas.openxmlformats.org/officeDocument/2006/relationships/hyperlink" Target="https://orcid.org/0000-0003-0122-6231" TargetMode="External"/><Relationship Id="rId19" Type="http://schemas.openxmlformats.org/officeDocument/2006/relationships/hyperlink" Target="https://doi.org/10.13140/RG.2.1.5028.9049" TargetMode="External"/><Relationship Id="rId31" Type="http://schemas.openxmlformats.org/officeDocument/2006/relationships/hyperlink" Target="https://doi.org/10.1145/3132525.3132546"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tacuri1@alumno.uned.es" TargetMode="External"/><Relationship Id="rId14" Type="http://schemas.openxmlformats.org/officeDocument/2006/relationships/hyperlink" Target="https://doi.org/10.9756/INT-JECSE/V13I2.211065" TargetMode="External"/><Relationship Id="rId22" Type="http://schemas.openxmlformats.org/officeDocument/2006/relationships/hyperlink" Target="https://doi.org/10.1111/j.1475-1313.2006.00401.x" TargetMode="External"/><Relationship Id="rId27" Type="http://schemas.openxmlformats.org/officeDocument/2006/relationships/hyperlink" Target="https://doi.org/10.1590/0004-282x20190014" TargetMode="External"/><Relationship Id="rId30" Type="http://schemas.openxmlformats.org/officeDocument/2006/relationships/hyperlink" Target="https://doi.org/10.1080/10888438.2013.827687" TargetMode="External"/><Relationship Id="rId35" Type="http://schemas.openxmlformats.org/officeDocument/2006/relationships/hyperlink" Target="https://doi.org/10.1002/dys.186" TargetMode="External"/><Relationship Id="rId43" Type="http://schemas.openxmlformats.org/officeDocument/2006/relationships/hyperlink" Target="http://www.wma.net/en/30publications/10poli%20cies/b3/17c.pdf" TargetMode="External"/><Relationship Id="rId8" Type="http://schemas.openxmlformats.org/officeDocument/2006/relationships/hyperlink" Target="https://orcid.org/0000-0002-6134-6211" TargetMode="External"/><Relationship Id="rId3" Type="http://schemas.openxmlformats.org/officeDocument/2006/relationships/styles" Target="styles.xml"/><Relationship Id="rId12" Type="http://schemas.openxmlformats.org/officeDocument/2006/relationships/hyperlink" Target="https://orcid.org/0000-0002-7802-3793" TargetMode="External"/><Relationship Id="rId17" Type="http://schemas.openxmlformats.org/officeDocument/2006/relationships/hyperlink" Target="https://doi.org/10.1073/pnas.88.18.7943" TargetMode="External"/><Relationship Id="rId25" Type="http://schemas.openxmlformats.org/officeDocument/2006/relationships/hyperlink" Target="https://doi.org/10.1111/j.2044-8295.1997.tb02656.x" TargetMode="External"/><Relationship Id="rId33" Type="http://schemas.openxmlformats.org/officeDocument/2006/relationships/hyperlink" Target="https://doi.org/10.1111/j.1751-228X.2012.01139.x" TargetMode="External"/><Relationship Id="rId38" Type="http://schemas.openxmlformats.org/officeDocument/2006/relationships/hyperlink" Target="https://doi.org/10.3389/fpsyg.2014.00833" TargetMode="External"/><Relationship Id="rId46" Type="http://schemas.openxmlformats.org/officeDocument/2006/relationships/fontTable" Target="fontTable.xml"/><Relationship Id="rId20" Type="http://schemas.openxmlformats.org/officeDocument/2006/relationships/hyperlink" Target="https://doi.org/10.1177/0031512519889772" TargetMode="External"/><Relationship Id="rId41" Type="http://schemas.openxmlformats.org/officeDocument/2006/relationships/hyperlink" Target="https://doi.org/10.1093/brain/107.4.9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A41E-7F4D-485E-B5C7-9C817264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7286</Words>
  <Characters>40079</Characters>
  <Application>Microsoft Office Word</Application>
  <DocSecurity>0</DocSecurity>
  <Lines>333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2024-01-04T16:27:00Z</dcterms:created>
  <dcterms:modified xsi:type="dcterms:W3CDTF">2024-01-04T18:20:00Z</dcterms:modified>
</cp:coreProperties>
</file>