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67C9" w14:textId="113FA95B" w:rsidR="001C215F" w:rsidRPr="005C6A8C" w:rsidRDefault="001C215F" w:rsidP="005C6A8C">
      <w:pPr>
        <w:spacing w:line="240" w:lineRule="auto"/>
        <w:ind w:firstLine="0"/>
        <w:jc w:val="center"/>
        <w:rPr>
          <w:b/>
          <w:bCs/>
          <w:sz w:val="28"/>
          <w:szCs w:val="28"/>
          <w:lang w:val="en-GB"/>
        </w:rPr>
      </w:pPr>
      <w:r w:rsidRPr="005C6A8C">
        <w:rPr>
          <w:b/>
          <w:bCs/>
          <w:sz w:val="28"/>
          <w:szCs w:val="28"/>
          <w:lang w:val="en-GB"/>
        </w:rPr>
        <w:t xml:space="preserve">Reading skills in children with Irlen </w:t>
      </w:r>
      <w:r w:rsidR="005C6A8C">
        <w:rPr>
          <w:b/>
          <w:bCs/>
          <w:sz w:val="28"/>
          <w:szCs w:val="28"/>
          <w:lang w:val="en-GB"/>
        </w:rPr>
        <w:t>S</w:t>
      </w:r>
      <w:r w:rsidRPr="005C6A8C">
        <w:rPr>
          <w:b/>
          <w:bCs/>
          <w:sz w:val="28"/>
          <w:szCs w:val="28"/>
          <w:lang w:val="en-GB"/>
        </w:rPr>
        <w:t>yndrome</w:t>
      </w:r>
    </w:p>
    <w:p w14:paraId="4F9325B4" w14:textId="77777777" w:rsidR="001C215F" w:rsidRPr="005C6A8C" w:rsidRDefault="001C215F" w:rsidP="001C215F">
      <w:pPr>
        <w:spacing w:line="240" w:lineRule="auto"/>
        <w:ind w:firstLine="0"/>
        <w:jc w:val="center"/>
        <w:rPr>
          <w:sz w:val="28"/>
          <w:szCs w:val="28"/>
        </w:rPr>
      </w:pPr>
      <w:r w:rsidRPr="005C6A8C">
        <w:rPr>
          <w:sz w:val="28"/>
          <w:szCs w:val="28"/>
        </w:rPr>
        <w:t xml:space="preserve">Habilidades de lectura en niños con síndrome de </w:t>
      </w:r>
      <w:proofErr w:type="spellStart"/>
      <w:r w:rsidRPr="005C6A8C">
        <w:rPr>
          <w:sz w:val="28"/>
          <w:szCs w:val="28"/>
        </w:rPr>
        <w:t>Irlen</w:t>
      </w:r>
      <w:proofErr w:type="spellEnd"/>
    </w:p>
    <w:p w14:paraId="63325710" w14:textId="77777777" w:rsidR="002E1E22" w:rsidRPr="005000BF" w:rsidRDefault="002E1E22" w:rsidP="002E1E22">
      <w:pPr>
        <w:pStyle w:val="Authornames"/>
        <w:spacing w:before="0" w:line="240" w:lineRule="auto"/>
        <w:jc w:val="both"/>
        <w:rPr>
          <w:sz w:val="24"/>
          <w:lang w:val="es-ES"/>
        </w:rPr>
      </w:pPr>
    </w:p>
    <w:p w14:paraId="70040801" w14:textId="77777777" w:rsidR="00BA6FBD" w:rsidRPr="005000BF" w:rsidRDefault="00BA6FBD" w:rsidP="002E1E22">
      <w:pPr>
        <w:spacing w:line="240" w:lineRule="auto"/>
        <w:ind w:firstLine="0"/>
        <w:jc w:val="both"/>
        <w:rPr>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215F" w:rsidRPr="005641A9" w14:paraId="22973713" w14:textId="77777777" w:rsidTr="005000BF">
        <w:trPr>
          <w:trHeight w:val="1735"/>
        </w:trPr>
        <w:tc>
          <w:tcPr>
            <w:tcW w:w="4675" w:type="dxa"/>
          </w:tcPr>
          <w:p w14:paraId="22016F59" w14:textId="77777777" w:rsidR="001C215F" w:rsidRPr="005000BF" w:rsidRDefault="001C215F" w:rsidP="002272BE">
            <w:pPr>
              <w:pStyle w:val="Authornames"/>
              <w:spacing w:before="0" w:line="240" w:lineRule="auto"/>
              <w:rPr>
                <w:b/>
                <w:bCs/>
                <w:sz w:val="24"/>
                <w:lang w:val="es-ES"/>
              </w:rPr>
            </w:pPr>
            <w:r w:rsidRPr="005000BF">
              <w:rPr>
                <w:b/>
                <w:bCs/>
                <w:sz w:val="24"/>
                <w:lang w:val="es-ES"/>
              </w:rPr>
              <w:t xml:space="preserve">R. David Tacuri-Reino </w:t>
            </w:r>
          </w:p>
          <w:p w14:paraId="63E4E48D" w14:textId="644CD06C" w:rsidR="001C215F" w:rsidRDefault="001C215F" w:rsidP="002272BE">
            <w:pPr>
              <w:pStyle w:val="Affiliation"/>
              <w:spacing w:before="0" w:line="240" w:lineRule="auto"/>
              <w:rPr>
                <w:i w:val="0"/>
                <w:iCs/>
                <w:lang w:val="es-ES"/>
              </w:rPr>
            </w:pPr>
            <w:r w:rsidRPr="005000BF">
              <w:rPr>
                <w:i w:val="0"/>
                <w:iCs/>
                <w:lang w:val="es-ES"/>
              </w:rPr>
              <w:t xml:space="preserve">Universidad Nacional de Educación a Distancia, </w:t>
            </w:r>
            <w:proofErr w:type="spellStart"/>
            <w:r w:rsidRPr="005000BF">
              <w:rPr>
                <w:i w:val="0"/>
                <w:iCs/>
                <w:lang w:val="es-ES"/>
              </w:rPr>
              <w:t>Spain</w:t>
            </w:r>
            <w:proofErr w:type="spellEnd"/>
          </w:p>
          <w:p w14:paraId="71E4BE9C" w14:textId="5B86B1AD" w:rsidR="006E31C5" w:rsidRPr="006E31C5" w:rsidRDefault="006E31C5" w:rsidP="002272BE">
            <w:pPr>
              <w:pStyle w:val="Affiliation"/>
              <w:spacing w:before="0" w:line="240" w:lineRule="auto"/>
              <w:rPr>
                <w:i w:val="0"/>
                <w:iCs/>
                <w:lang w:val="es-EC"/>
              </w:rPr>
            </w:pPr>
            <w:r w:rsidRPr="006E31C5">
              <w:rPr>
                <w:i w:val="0"/>
                <w:iCs/>
                <w:highlight w:val="yellow"/>
                <w:lang w:val="es-EC"/>
              </w:rPr>
              <w:t>Universidad de Cuenca, Ecuador</w:t>
            </w:r>
          </w:p>
          <w:p w14:paraId="0AEAB103" w14:textId="77777777" w:rsidR="001C215F" w:rsidRPr="005000BF" w:rsidRDefault="00000000" w:rsidP="002272BE">
            <w:pPr>
              <w:spacing w:line="240" w:lineRule="auto"/>
              <w:ind w:firstLine="0"/>
              <w:rPr>
                <w:i/>
                <w:iCs/>
                <w:szCs w:val="24"/>
              </w:rPr>
            </w:pPr>
            <w:hyperlink r:id="rId8" w:history="1">
              <w:r w:rsidR="001C215F" w:rsidRPr="005000BF">
                <w:rPr>
                  <w:rStyle w:val="Hipervnculo"/>
                  <w:i/>
                  <w:iCs/>
                  <w:szCs w:val="24"/>
                </w:rPr>
                <w:t>https://orcid.org/0000-0002-6134-6211</w:t>
              </w:r>
            </w:hyperlink>
            <w:r w:rsidR="001C215F" w:rsidRPr="005000BF">
              <w:rPr>
                <w:i/>
                <w:iCs/>
                <w:szCs w:val="24"/>
              </w:rPr>
              <w:t xml:space="preserve"> </w:t>
            </w:r>
          </w:p>
          <w:p w14:paraId="68956CE5" w14:textId="77777777" w:rsidR="001C215F" w:rsidRPr="005000BF" w:rsidRDefault="00000000" w:rsidP="002272BE">
            <w:pPr>
              <w:pStyle w:val="Authornames"/>
              <w:spacing w:before="0" w:line="240" w:lineRule="auto"/>
              <w:rPr>
                <w:i/>
                <w:iCs/>
                <w:sz w:val="24"/>
                <w:lang w:val="es-ES"/>
              </w:rPr>
            </w:pPr>
            <w:hyperlink r:id="rId9" w:history="1">
              <w:r w:rsidR="001C215F" w:rsidRPr="005000BF">
                <w:rPr>
                  <w:rStyle w:val="Hipervnculo"/>
                  <w:i/>
                  <w:iCs/>
                  <w:sz w:val="24"/>
                  <w:lang w:val="es-ES"/>
                </w:rPr>
                <w:t>rtacuri1@alumno.uned.es</w:t>
              </w:r>
            </w:hyperlink>
          </w:p>
        </w:tc>
        <w:tc>
          <w:tcPr>
            <w:tcW w:w="4675" w:type="dxa"/>
          </w:tcPr>
          <w:p w14:paraId="477F7EDC" w14:textId="77777777" w:rsidR="001C215F" w:rsidRPr="005000BF" w:rsidRDefault="001C215F" w:rsidP="002272BE">
            <w:pPr>
              <w:pStyle w:val="Authornames"/>
              <w:spacing w:before="0" w:line="240" w:lineRule="auto"/>
              <w:jc w:val="both"/>
              <w:rPr>
                <w:b/>
                <w:bCs/>
                <w:sz w:val="24"/>
                <w:lang w:val="es-ES"/>
              </w:rPr>
            </w:pPr>
            <w:r w:rsidRPr="005000BF">
              <w:rPr>
                <w:b/>
                <w:bCs/>
                <w:sz w:val="24"/>
                <w:lang w:val="es-ES"/>
              </w:rPr>
              <w:t>M. Rosa Elosua</w:t>
            </w:r>
          </w:p>
          <w:p w14:paraId="01328675" w14:textId="3F800480" w:rsidR="001C215F" w:rsidRPr="005000BF" w:rsidRDefault="001C215F" w:rsidP="001C215F">
            <w:pPr>
              <w:pStyle w:val="Affiliation"/>
              <w:spacing w:before="0" w:line="240" w:lineRule="auto"/>
              <w:rPr>
                <w:i w:val="0"/>
                <w:iCs/>
                <w:lang w:val="es-ES"/>
              </w:rPr>
            </w:pPr>
            <w:r w:rsidRPr="005000BF">
              <w:rPr>
                <w:i w:val="0"/>
                <w:iCs/>
                <w:lang w:val="es-ES"/>
              </w:rPr>
              <w:t xml:space="preserve">Universidad Nacional de Educación a Distancia, </w:t>
            </w:r>
            <w:proofErr w:type="spellStart"/>
            <w:r w:rsidRPr="005000BF">
              <w:rPr>
                <w:i w:val="0"/>
                <w:iCs/>
                <w:lang w:val="es-ES"/>
              </w:rPr>
              <w:t>Spain</w:t>
            </w:r>
            <w:proofErr w:type="spellEnd"/>
          </w:p>
          <w:p w14:paraId="0A5CE364" w14:textId="77777777" w:rsidR="001C215F" w:rsidRPr="005000BF" w:rsidRDefault="00000000" w:rsidP="002272BE">
            <w:pPr>
              <w:spacing w:line="240" w:lineRule="auto"/>
              <w:ind w:firstLine="0"/>
              <w:jc w:val="both"/>
              <w:rPr>
                <w:i/>
                <w:iCs/>
                <w:szCs w:val="24"/>
              </w:rPr>
            </w:pPr>
            <w:hyperlink r:id="rId10" w:history="1">
              <w:r w:rsidR="001C215F" w:rsidRPr="005000BF">
                <w:rPr>
                  <w:rStyle w:val="Hipervnculo"/>
                  <w:i/>
                  <w:iCs/>
                  <w:szCs w:val="24"/>
                </w:rPr>
                <w:t>https://orcid.org/0000-0003-0122-6231</w:t>
              </w:r>
            </w:hyperlink>
            <w:r w:rsidR="001C215F" w:rsidRPr="005000BF">
              <w:rPr>
                <w:i/>
                <w:iCs/>
                <w:szCs w:val="24"/>
              </w:rPr>
              <w:t xml:space="preserve"> </w:t>
            </w:r>
          </w:p>
          <w:p w14:paraId="288C1F3D" w14:textId="77777777" w:rsidR="001C215F" w:rsidRPr="005000BF" w:rsidRDefault="00000000" w:rsidP="002272BE">
            <w:pPr>
              <w:ind w:firstLine="0"/>
              <w:rPr>
                <w:lang w:eastAsia="en-GB"/>
              </w:rPr>
            </w:pPr>
            <w:hyperlink r:id="rId11" w:history="1">
              <w:r w:rsidR="001C215F" w:rsidRPr="005000BF">
                <w:rPr>
                  <w:rStyle w:val="Hipervnculo"/>
                  <w:i/>
                  <w:iCs/>
                  <w:szCs w:val="24"/>
                </w:rPr>
                <w:t>melosua@psi.uned.es</w:t>
              </w:r>
            </w:hyperlink>
          </w:p>
        </w:tc>
      </w:tr>
      <w:tr w:rsidR="001C215F" w:rsidRPr="005641A9" w14:paraId="7AEDB709" w14:textId="77777777" w:rsidTr="002272BE">
        <w:tc>
          <w:tcPr>
            <w:tcW w:w="4675" w:type="dxa"/>
          </w:tcPr>
          <w:p w14:paraId="1E288FCF" w14:textId="77777777" w:rsidR="001C215F" w:rsidRPr="005000BF" w:rsidRDefault="001C215F" w:rsidP="002272BE">
            <w:pPr>
              <w:pStyle w:val="Authornames"/>
              <w:spacing w:before="0" w:line="240" w:lineRule="auto"/>
              <w:jc w:val="both"/>
              <w:rPr>
                <w:b/>
                <w:bCs/>
                <w:sz w:val="24"/>
                <w:lang w:val="es-ES"/>
              </w:rPr>
            </w:pPr>
            <w:r w:rsidRPr="005000BF">
              <w:rPr>
                <w:b/>
                <w:bCs/>
                <w:sz w:val="24"/>
                <w:lang w:val="es-ES"/>
              </w:rPr>
              <w:t>Marcelo Bernal</w:t>
            </w:r>
          </w:p>
          <w:p w14:paraId="595B33AE" w14:textId="77777777" w:rsidR="006E31C5" w:rsidRPr="00C345AA" w:rsidRDefault="006E31C5" w:rsidP="006E31C5">
            <w:pPr>
              <w:pStyle w:val="Affiliation"/>
              <w:spacing w:before="0" w:line="240" w:lineRule="auto"/>
              <w:rPr>
                <w:i w:val="0"/>
                <w:iCs/>
                <w:lang w:val="es-EC"/>
              </w:rPr>
            </w:pPr>
            <w:r w:rsidRPr="006E31C5">
              <w:rPr>
                <w:i w:val="0"/>
                <w:iCs/>
                <w:highlight w:val="yellow"/>
                <w:lang w:val="es-EC"/>
              </w:rPr>
              <w:t>Universidad de Cuenca, Ecuador</w:t>
            </w:r>
          </w:p>
          <w:p w14:paraId="4BE9FDBC" w14:textId="77777777" w:rsidR="001C215F" w:rsidRPr="005000BF" w:rsidRDefault="00000000" w:rsidP="002272BE">
            <w:pPr>
              <w:pStyle w:val="Affiliation"/>
              <w:spacing w:before="0" w:line="240" w:lineRule="auto"/>
              <w:jc w:val="both"/>
              <w:rPr>
                <w:i w:val="0"/>
                <w:iCs/>
                <w:lang w:val="es-ES"/>
              </w:rPr>
            </w:pPr>
            <w:hyperlink r:id="rId12" w:history="1">
              <w:r w:rsidR="001C215F" w:rsidRPr="005000BF">
                <w:rPr>
                  <w:rStyle w:val="Hipervnculo"/>
                  <w:lang w:val="es-ES"/>
                </w:rPr>
                <w:t>https://orcid.org/0000-0002-7802-3793</w:t>
              </w:r>
            </w:hyperlink>
            <w:r w:rsidR="001C215F" w:rsidRPr="005000BF">
              <w:rPr>
                <w:i w:val="0"/>
                <w:iCs/>
                <w:lang w:val="es-ES"/>
              </w:rPr>
              <w:t xml:space="preserve"> </w:t>
            </w:r>
          </w:p>
          <w:p w14:paraId="6AB7E74E" w14:textId="77777777" w:rsidR="001C215F" w:rsidRPr="005000BF" w:rsidRDefault="00000000" w:rsidP="002272BE">
            <w:pPr>
              <w:pStyle w:val="Affiliation"/>
              <w:spacing w:before="0" w:line="240" w:lineRule="auto"/>
              <w:jc w:val="both"/>
              <w:rPr>
                <w:i w:val="0"/>
                <w:iCs/>
                <w:lang w:val="es-ES"/>
              </w:rPr>
            </w:pPr>
            <w:hyperlink r:id="rId13" w:history="1">
              <w:r w:rsidR="001C215F" w:rsidRPr="005000BF">
                <w:rPr>
                  <w:rStyle w:val="Hipervnculo"/>
                  <w:lang w:val="es-ES"/>
                </w:rPr>
                <w:t>marcelo.bernal@ucuenca.edu.ec</w:t>
              </w:r>
            </w:hyperlink>
            <w:r w:rsidR="001C215F" w:rsidRPr="005000BF">
              <w:rPr>
                <w:i w:val="0"/>
                <w:iCs/>
                <w:lang w:val="es-ES"/>
              </w:rPr>
              <w:t xml:space="preserve"> </w:t>
            </w:r>
          </w:p>
          <w:p w14:paraId="2C3180F1" w14:textId="77777777" w:rsidR="001C215F" w:rsidRPr="005000BF" w:rsidRDefault="001C215F" w:rsidP="002272BE">
            <w:pPr>
              <w:ind w:firstLine="0"/>
              <w:rPr>
                <w:lang w:eastAsia="en-GB"/>
              </w:rPr>
            </w:pPr>
          </w:p>
        </w:tc>
        <w:tc>
          <w:tcPr>
            <w:tcW w:w="4675" w:type="dxa"/>
          </w:tcPr>
          <w:p w14:paraId="022C5CB8" w14:textId="77777777" w:rsidR="001C215F" w:rsidRPr="005000BF" w:rsidRDefault="001C215F" w:rsidP="002272BE">
            <w:pPr>
              <w:ind w:firstLine="0"/>
              <w:rPr>
                <w:lang w:eastAsia="en-GB"/>
              </w:rPr>
            </w:pPr>
          </w:p>
        </w:tc>
      </w:tr>
    </w:tbl>
    <w:p w14:paraId="52A628EA" w14:textId="77777777" w:rsidR="001C215F" w:rsidRPr="005C6A8C" w:rsidRDefault="001C215F" w:rsidP="001C215F">
      <w:pPr>
        <w:spacing w:line="240" w:lineRule="auto"/>
        <w:ind w:firstLine="0"/>
        <w:jc w:val="both"/>
        <w:rPr>
          <w:b/>
          <w:bCs/>
          <w:sz w:val="22"/>
          <w:lang w:val="en-GB"/>
        </w:rPr>
      </w:pPr>
      <w:r w:rsidRPr="005C6A8C">
        <w:rPr>
          <w:b/>
          <w:bCs/>
          <w:sz w:val="22"/>
          <w:lang w:val="en-GB"/>
        </w:rPr>
        <w:t>Abstract</w:t>
      </w:r>
    </w:p>
    <w:p w14:paraId="4B7C8C06" w14:textId="6DE93ACF" w:rsidR="001C215F" w:rsidRPr="005C6A8C" w:rsidRDefault="001C215F" w:rsidP="001C215F">
      <w:pPr>
        <w:spacing w:line="240" w:lineRule="auto"/>
        <w:ind w:firstLine="0"/>
        <w:jc w:val="both"/>
        <w:rPr>
          <w:sz w:val="22"/>
          <w:lang w:val="en-GB"/>
        </w:rPr>
      </w:pPr>
      <w:r w:rsidRPr="005C6A8C">
        <w:rPr>
          <w:sz w:val="22"/>
          <w:lang w:val="en-GB"/>
        </w:rPr>
        <w:t xml:space="preserve">Visual perceptual distortions and physical discomfort that cause difficulties in reading are some of the characteristics of Irlen syndrome. This study examined if students with Irlen syndrome, assessed with different reading tasks, </w:t>
      </w:r>
      <w:r w:rsidR="00591125" w:rsidRPr="005C6A8C">
        <w:rPr>
          <w:sz w:val="22"/>
          <w:lang w:val="en-GB"/>
        </w:rPr>
        <w:t>show</w:t>
      </w:r>
      <w:r w:rsidRPr="005C6A8C">
        <w:rPr>
          <w:sz w:val="22"/>
          <w:lang w:val="en-GB"/>
        </w:rPr>
        <w:t xml:space="preserve"> differences in reading skills when compared to those without th</w:t>
      </w:r>
      <w:r w:rsidR="00591125" w:rsidRPr="005C6A8C">
        <w:rPr>
          <w:sz w:val="22"/>
          <w:lang w:val="en-GB"/>
        </w:rPr>
        <w:t>is</w:t>
      </w:r>
      <w:r w:rsidRPr="005C6A8C">
        <w:rPr>
          <w:sz w:val="22"/>
          <w:lang w:val="en-GB"/>
        </w:rPr>
        <w:t xml:space="preserve"> condition. Participants were 110 fourth and fifth graders (mean age = 8.6 years), 55 with Irlen syndrome (ISG group) and 55 without th</w:t>
      </w:r>
      <w:r w:rsidR="00591125" w:rsidRPr="005C6A8C">
        <w:rPr>
          <w:sz w:val="22"/>
          <w:lang w:val="en-GB"/>
        </w:rPr>
        <w:t>is</w:t>
      </w:r>
      <w:r w:rsidRPr="005C6A8C">
        <w:rPr>
          <w:sz w:val="22"/>
          <w:lang w:val="en-GB"/>
        </w:rPr>
        <w:t xml:space="preserve"> syndrome (control group). Researchers applied the Irlen Reading Perceptual Scale to evaluate the Irlen Syndrome and the PROLEC-R Test to assess reading processes. The results showed significant group differences in Word Reading, Pseudoword Reading, Punctuation Marks, Sentence, and Text Comprehension. </w:t>
      </w:r>
      <w:r w:rsidR="005000BF" w:rsidRPr="005C6A8C">
        <w:rPr>
          <w:sz w:val="22"/>
          <w:lang w:val="en-GB"/>
        </w:rPr>
        <w:t>O</w:t>
      </w:r>
      <w:r w:rsidRPr="005C6A8C">
        <w:rPr>
          <w:sz w:val="22"/>
          <w:lang w:val="en-GB"/>
        </w:rPr>
        <w:t xml:space="preserve">ral comprehension in the auditory modality was not significantly different, which would support the idea that Irlen syndrome seems to be related to visual sensory processes. In conclusion, participants with Irlen syndrome </w:t>
      </w:r>
      <w:r w:rsidR="00591125" w:rsidRPr="005C6A8C">
        <w:rPr>
          <w:sz w:val="22"/>
          <w:lang w:val="en-GB"/>
        </w:rPr>
        <w:t>showed</w:t>
      </w:r>
      <w:r w:rsidRPr="005C6A8C">
        <w:rPr>
          <w:sz w:val="22"/>
          <w:lang w:val="en-GB"/>
        </w:rPr>
        <w:t xml:space="preserve"> impaired reading processes that might affect overall visual comprehension but not oral reading comprehension. </w:t>
      </w:r>
    </w:p>
    <w:p w14:paraId="0414950E" w14:textId="77777777" w:rsidR="001C215F" w:rsidRPr="005C6A8C" w:rsidRDefault="001C215F" w:rsidP="001C215F">
      <w:pPr>
        <w:spacing w:line="240" w:lineRule="auto"/>
        <w:ind w:firstLine="0"/>
        <w:jc w:val="both"/>
        <w:rPr>
          <w:sz w:val="22"/>
          <w:lang w:val="en-GB"/>
        </w:rPr>
      </w:pPr>
    </w:p>
    <w:p w14:paraId="24A6E984" w14:textId="6C6677ED" w:rsidR="001C215F" w:rsidRPr="005C6A8C" w:rsidRDefault="001C215F" w:rsidP="001C215F">
      <w:pPr>
        <w:spacing w:line="240" w:lineRule="auto"/>
        <w:ind w:firstLine="0"/>
        <w:jc w:val="both"/>
        <w:rPr>
          <w:sz w:val="22"/>
          <w:lang w:val="en-GB"/>
        </w:rPr>
      </w:pPr>
      <w:r w:rsidRPr="005C6A8C">
        <w:rPr>
          <w:b/>
          <w:bCs/>
          <w:sz w:val="22"/>
          <w:lang w:val="en-GB"/>
        </w:rPr>
        <w:t>Keywords:</w:t>
      </w:r>
      <w:r w:rsidRPr="005C6A8C">
        <w:rPr>
          <w:sz w:val="22"/>
          <w:lang w:val="en-GB"/>
        </w:rPr>
        <w:t xml:space="preserve"> Reading skills, </w:t>
      </w:r>
      <w:bookmarkStart w:id="0" w:name="_Hlk155160529"/>
      <w:r w:rsidR="005000BF" w:rsidRPr="005C6A8C">
        <w:rPr>
          <w:sz w:val="22"/>
          <w:lang w:val="en-GB"/>
        </w:rPr>
        <w:t>reading difficulties, learning disabilities</w:t>
      </w:r>
      <w:bookmarkEnd w:id="0"/>
      <w:r w:rsidR="005000BF" w:rsidRPr="005C6A8C">
        <w:rPr>
          <w:sz w:val="22"/>
          <w:lang w:val="en-GB"/>
        </w:rPr>
        <w:t xml:space="preserve">, </w:t>
      </w:r>
      <w:r w:rsidRPr="005C6A8C">
        <w:rPr>
          <w:sz w:val="22"/>
          <w:lang w:val="en-GB"/>
        </w:rPr>
        <w:t xml:space="preserve">Irlen </w:t>
      </w:r>
      <w:r w:rsidR="005000BF" w:rsidRPr="005C6A8C">
        <w:rPr>
          <w:sz w:val="22"/>
          <w:lang w:val="en-GB"/>
        </w:rPr>
        <w:t>S</w:t>
      </w:r>
      <w:r w:rsidRPr="005C6A8C">
        <w:rPr>
          <w:sz w:val="22"/>
          <w:lang w:val="en-GB"/>
        </w:rPr>
        <w:t xml:space="preserve">yndrome, </w:t>
      </w:r>
      <w:r w:rsidR="005000BF" w:rsidRPr="005C6A8C">
        <w:rPr>
          <w:sz w:val="22"/>
          <w:lang w:val="en-GB"/>
        </w:rPr>
        <w:t>r</w:t>
      </w:r>
      <w:r w:rsidRPr="005C6A8C">
        <w:rPr>
          <w:sz w:val="22"/>
          <w:lang w:val="en-GB"/>
        </w:rPr>
        <w:t xml:space="preserve">eading comprehension, </w:t>
      </w:r>
    </w:p>
    <w:p w14:paraId="325945F8" w14:textId="77777777" w:rsidR="001C215F" w:rsidRPr="005C6A8C" w:rsidRDefault="001C215F" w:rsidP="001C215F">
      <w:pPr>
        <w:spacing w:line="240" w:lineRule="auto"/>
        <w:ind w:firstLine="0"/>
        <w:jc w:val="both"/>
        <w:rPr>
          <w:sz w:val="22"/>
          <w:lang w:val="en-GB"/>
        </w:rPr>
      </w:pPr>
    </w:p>
    <w:p w14:paraId="1D5346EE" w14:textId="77777777" w:rsidR="001C215F" w:rsidRPr="005C6A8C" w:rsidRDefault="001C215F" w:rsidP="001C215F">
      <w:pPr>
        <w:spacing w:line="240" w:lineRule="auto"/>
        <w:ind w:firstLine="0"/>
        <w:jc w:val="both"/>
        <w:rPr>
          <w:b/>
          <w:bCs/>
          <w:sz w:val="22"/>
          <w:lang w:val="en-GB"/>
        </w:rPr>
      </w:pPr>
    </w:p>
    <w:p w14:paraId="53525882" w14:textId="77777777" w:rsidR="001C215F" w:rsidRPr="005C6A8C" w:rsidRDefault="001C215F" w:rsidP="001C215F">
      <w:pPr>
        <w:spacing w:line="240" w:lineRule="auto"/>
        <w:ind w:firstLine="0"/>
        <w:jc w:val="both"/>
        <w:rPr>
          <w:b/>
          <w:bCs/>
          <w:sz w:val="22"/>
        </w:rPr>
      </w:pPr>
      <w:r w:rsidRPr="005C6A8C">
        <w:rPr>
          <w:b/>
          <w:bCs/>
          <w:sz w:val="22"/>
        </w:rPr>
        <w:t>Resumen</w:t>
      </w:r>
    </w:p>
    <w:p w14:paraId="191A52EA" w14:textId="3A019B5A" w:rsidR="001C215F" w:rsidRPr="005C6A8C" w:rsidRDefault="001C215F" w:rsidP="001C215F">
      <w:pPr>
        <w:spacing w:line="240" w:lineRule="auto"/>
        <w:ind w:firstLine="0"/>
        <w:jc w:val="both"/>
        <w:rPr>
          <w:sz w:val="22"/>
        </w:rPr>
      </w:pPr>
      <w:r w:rsidRPr="005C6A8C">
        <w:rPr>
          <w:sz w:val="22"/>
        </w:rPr>
        <w:t xml:space="preserve">Las distorsiones visuales perceptivas y las molestias físicas que provocan dificultades en la lectura son algunas de las características del síndrome de </w:t>
      </w:r>
      <w:proofErr w:type="spellStart"/>
      <w:r w:rsidRPr="005C6A8C">
        <w:rPr>
          <w:sz w:val="22"/>
        </w:rPr>
        <w:t>Irlen</w:t>
      </w:r>
      <w:proofErr w:type="spellEnd"/>
      <w:r w:rsidRPr="005C6A8C">
        <w:rPr>
          <w:sz w:val="22"/>
        </w:rPr>
        <w:t xml:space="preserve">. Este estudio examinó si los estudiantes con síndrome de </w:t>
      </w:r>
      <w:proofErr w:type="spellStart"/>
      <w:r w:rsidRPr="005C6A8C">
        <w:rPr>
          <w:sz w:val="22"/>
        </w:rPr>
        <w:t>Irlen</w:t>
      </w:r>
      <w:proofErr w:type="spellEnd"/>
      <w:r w:rsidRPr="005C6A8C">
        <w:rPr>
          <w:sz w:val="22"/>
        </w:rPr>
        <w:t xml:space="preserve">, evaluados con diferentes tareas de lectura, presentan diferencias en las habilidades de lectura en comparación con aquellos sin la condición. Los participantes fueron 110 alumnos de cuarto y quinto grado (edad media = 8.6 años), 55 con síndrome de </w:t>
      </w:r>
      <w:proofErr w:type="spellStart"/>
      <w:r w:rsidRPr="005C6A8C">
        <w:rPr>
          <w:sz w:val="22"/>
        </w:rPr>
        <w:t>Irlen</w:t>
      </w:r>
      <w:proofErr w:type="spellEnd"/>
      <w:r w:rsidRPr="005C6A8C">
        <w:rPr>
          <w:sz w:val="22"/>
        </w:rPr>
        <w:t xml:space="preserve"> (grupo GSI) y 55 sin síndrome (grupo de control). Los investigadores aplicaron la Escala de Percepción de Lectura de </w:t>
      </w:r>
      <w:proofErr w:type="spellStart"/>
      <w:r w:rsidRPr="005C6A8C">
        <w:rPr>
          <w:sz w:val="22"/>
        </w:rPr>
        <w:t>Irlen</w:t>
      </w:r>
      <w:proofErr w:type="spellEnd"/>
      <w:r w:rsidRPr="005C6A8C">
        <w:rPr>
          <w:sz w:val="22"/>
        </w:rPr>
        <w:t xml:space="preserve"> para evaluar el Síndrome de </w:t>
      </w:r>
      <w:proofErr w:type="spellStart"/>
      <w:r w:rsidRPr="005C6A8C">
        <w:rPr>
          <w:sz w:val="22"/>
        </w:rPr>
        <w:t>Irlen</w:t>
      </w:r>
      <w:proofErr w:type="spellEnd"/>
      <w:r w:rsidRPr="005C6A8C">
        <w:rPr>
          <w:sz w:val="22"/>
        </w:rPr>
        <w:t xml:space="preserve"> y la prueba PROLEC-R para evaluar los procesos de lectura. Los resultados mostraron diferencias significativas entre los grupos en Lectura de palabras, Lectura de pseudopalabras, Signos de puntuación, Oraciones y Comprensión de textos. </w:t>
      </w:r>
      <w:r w:rsidR="005000BF" w:rsidRPr="005C6A8C">
        <w:rPr>
          <w:sz w:val="22"/>
        </w:rPr>
        <w:t>L</w:t>
      </w:r>
      <w:r w:rsidRPr="005C6A8C">
        <w:rPr>
          <w:sz w:val="22"/>
        </w:rPr>
        <w:t xml:space="preserve">a comprensión oral en la modalidad auditiva no fue significativamente diferente, lo que apoyaría la idea de que el síndrome de </w:t>
      </w:r>
      <w:proofErr w:type="spellStart"/>
      <w:r w:rsidRPr="005C6A8C">
        <w:rPr>
          <w:sz w:val="22"/>
        </w:rPr>
        <w:t>Irlen</w:t>
      </w:r>
      <w:proofErr w:type="spellEnd"/>
      <w:r w:rsidRPr="005C6A8C">
        <w:rPr>
          <w:sz w:val="22"/>
        </w:rPr>
        <w:t xml:space="preserve"> parece estar relacionado con procesos sensoriales visuales. En conclusión, los participantes con síndrome de </w:t>
      </w:r>
      <w:proofErr w:type="spellStart"/>
      <w:r w:rsidRPr="005C6A8C">
        <w:rPr>
          <w:sz w:val="22"/>
        </w:rPr>
        <w:t>Irlen</w:t>
      </w:r>
      <w:proofErr w:type="spellEnd"/>
      <w:r w:rsidRPr="005C6A8C">
        <w:rPr>
          <w:sz w:val="22"/>
        </w:rPr>
        <w:t xml:space="preserve"> presentaron procesos de lectura deteriorados que podrían afectar la comprensión visual general, pero no la comprensión lectora oral. </w:t>
      </w:r>
    </w:p>
    <w:p w14:paraId="21EB8CC3" w14:textId="77777777" w:rsidR="001C215F" w:rsidRPr="005C6A8C" w:rsidRDefault="001C215F" w:rsidP="001C215F">
      <w:pPr>
        <w:spacing w:line="240" w:lineRule="auto"/>
        <w:ind w:firstLine="0"/>
        <w:jc w:val="both"/>
        <w:rPr>
          <w:sz w:val="22"/>
        </w:rPr>
      </w:pPr>
    </w:p>
    <w:p w14:paraId="6483DFB1" w14:textId="1B518129" w:rsidR="001C215F" w:rsidRPr="005C6A8C" w:rsidRDefault="001C215F" w:rsidP="001C215F">
      <w:pPr>
        <w:spacing w:line="240" w:lineRule="auto"/>
        <w:ind w:firstLine="0"/>
        <w:jc w:val="both"/>
        <w:rPr>
          <w:sz w:val="22"/>
        </w:rPr>
      </w:pPr>
      <w:r w:rsidRPr="005C6A8C">
        <w:rPr>
          <w:b/>
          <w:bCs/>
          <w:sz w:val="22"/>
        </w:rPr>
        <w:t xml:space="preserve">Palabras clave: </w:t>
      </w:r>
      <w:r w:rsidRPr="005C6A8C">
        <w:rPr>
          <w:sz w:val="22"/>
        </w:rPr>
        <w:t xml:space="preserve">Habilidades de lectura, </w:t>
      </w:r>
      <w:r w:rsidR="005000BF" w:rsidRPr="005C6A8C">
        <w:rPr>
          <w:sz w:val="22"/>
        </w:rPr>
        <w:t xml:space="preserve">dificultades de lectura, dificultades de aprendizaje </w:t>
      </w:r>
      <w:r w:rsidRPr="005C6A8C">
        <w:rPr>
          <w:sz w:val="22"/>
        </w:rPr>
        <w:t xml:space="preserve">Síndrome de </w:t>
      </w:r>
      <w:proofErr w:type="spellStart"/>
      <w:r w:rsidRPr="005C6A8C">
        <w:rPr>
          <w:sz w:val="22"/>
        </w:rPr>
        <w:t>Irlen</w:t>
      </w:r>
      <w:proofErr w:type="spellEnd"/>
      <w:r w:rsidRPr="005C6A8C">
        <w:rPr>
          <w:sz w:val="22"/>
        </w:rPr>
        <w:t>, Comprensión lectora</w:t>
      </w:r>
      <w:r w:rsidR="005000BF" w:rsidRPr="005C6A8C">
        <w:rPr>
          <w:sz w:val="22"/>
        </w:rPr>
        <w:t>.</w:t>
      </w:r>
    </w:p>
    <w:p w14:paraId="6F70C119" w14:textId="77777777" w:rsidR="001C215F" w:rsidRPr="005C6A8C" w:rsidRDefault="001C215F" w:rsidP="001C215F">
      <w:pPr>
        <w:spacing w:line="240" w:lineRule="auto"/>
        <w:ind w:firstLine="0"/>
        <w:jc w:val="both"/>
        <w:rPr>
          <w:b/>
          <w:bCs/>
          <w:sz w:val="22"/>
        </w:rPr>
      </w:pPr>
    </w:p>
    <w:p w14:paraId="2CC50AAF" w14:textId="133271AD" w:rsidR="00343F97" w:rsidRPr="005C6A8C" w:rsidRDefault="00343F97" w:rsidP="001C215F">
      <w:pPr>
        <w:spacing w:line="240" w:lineRule="auto"/>
        <w:ind w:firstLine="0"/>
        <w:jc w:val="both"/>
        <w:rPr>
          <w:sz w:val="22"/>
          <w:lang w:val="en-GB"/>
        </w:rPr>
      </w:pPr>
      <w:r w:rsidRPr="005C6A8C">
        <w:rPr>
          <w:sz w:val="22"/>
        </w:rPr>
        <w:t>Tacuri-Reino, R. D., Elosua, M. R., &amp; Bernal, M. (20</w:t>
      </w:r>
      <w:r w:rsidR="005C6A8C" w:rsidRPr="005C6A8C">
        <w:rPr>
          <w:sz w:val="22"/>
        </w:rPr>
        <w:t>4</w:t>
      </w:r>
      <w:r w:rsidRPr="005C6A8C">
        <w:rPr>
          <w:sz w:val="22"/>
        </w:rPr>
        <w:t xml:space="preserve">3). </w:t>
      </w:r>
      <w:r w:rsidRPr="005C6A8C">
        <w:rPr>
          <w:sz w:val="22"/>
          <w:lang w:val="en-GB"/>
        </w:rPr>
        <w:t xml:space="preserve">Reading skills in children with Irlen </w:t>
      </w:r>
      <w:r w:rsidR="005C6A8C" w:rsidRPr="005C6A8C">
        <w:rPr>
          <w:sz w:val="22"/>
          <w:lang w:val="en-GB"/>
        </w:rPr>
        <w:t>S</w:t>
      </w:r>
      <w:r w:rsidRPr="005C6A8C">
        <w:rPr>
          <w:sz w:val="22"/>
          <w:lang w:val="en-GB"/>
        </w:rPr>
        <w:t xml:space="preserve">yndrome. </w:t>
      </w:r>
      <w:r w:rsidRPr="005C6A8C">
        <w:rPr>
          <w:i/>
          <w:iCs/>
          <w:sz w:val="22"/>
          <w:lang w:val="en-GB"/>
        </w:rPr>
        <w:t>Ocnos</w:t>
      </w:r>
      <w:r w:rsidRPr="005C6A8C">
        <w:rPr>
          <w:sz w:val="22"/>
          <w:lang w:val="en-GB"/>
        </w:rPr>
        <w:t xml:space="preserve">, 23(1). </w:t>
      </w:r>
      <w:r w:rsidRPr="005C6A8C">
        <w:rPr>
          <w:rFonts w:eastAsia="Times New Roman"/>
          <w:bCs/>
          <w:sz w:val="22"/>
          <w:lang w:val="en-GB"/>
        </w:rPr>
        <w:t xml:space="preserve">https://doi.org/10.18239/ocnos_2024.23.1.387  </w:t>
      </w:r>
    </w:p>
    <w:p w14:paraId="691CA5E2" w14:textId="77777777" w:rsidR="00343F97" w:rsidRPr="005641A9" w:rsidRDefault="00343F97" w:rsidP="001C215F">
      <w:pPr>
        <w:spacing w:line="240" w:lineRule="auto"/>
        <w:ind w:firstLine="0"/>
        <w:jc w:val="both"/>
        <w:rPr>
          <w:b/>
          <w:bCs/>
          <w:szCs w:val="24"/>
          <w:lang w:val="en-GB"/>
        </w:rPr>
      </w:pPr>
    </w:p>
    <w:p w14:paraId="50F429D9" w14:textId="77777777" w:rsidR="001C215F" w:rsidRPr="005641A9" w:rsidRDefault="001C215F" w:rsidP="001C215F">
      <w:pPr>
        <w:spacing w:line="240" w:lineRule="auto"/>
        <w:ind w:firstLine="0"/>
        <w:jc w:val="both"/>
        <w:rPr>
          <w:b/>
          <w:bCs/>
          <w:szCs w:val="24"/>
          <w:lang w:val="en-GB"/>
        </w:rPr>
      </w:pPr>
    </w:p>
    <w:p w14:paraId="1EBD1899" w14:textId="61DF7A11" w:rsidR="001C215F" w:rsidRPr="005641A9" w:rsidRDefault="005C6A8C" w:rsidP="001C215F">
      <w:pPr>
        <w:spacing w:line="240" w:lineRule="auto"/>
        <w:ind w:firstLine="0"/>
        <w:jc w:val="both"/>
        <w:rPr>
          <w:b/>
          <w:bCs/>
          <w:szCs w:val="24"/>
          <w:lang w:val="en-GB"/>
        </w:rPr>
      </w:pPr>
      <w:r>
        <w:rPr>
          <w:b/>
          <w:bCs/>
          <w:szCs w:val="24"/>
          <w:lang w:val="en-GB"/>
        </w:rPr>
        <w:t>Introduction</w:t>
      </w:r>
    </w:p>
    <w:p w14:paraId="3C4D2973" w14:textId="7F1D94C4" w:rsidR="00A0421B" w:rsidRPr="005641A9" w:rsidRDefault="00B80F7B" w:rsidP="002E1E22">
      <w:pPr>
        <w:spacing w:line="240" w:lineRule="auto"/>
        <w:ind w:firstLine="720"/>
        <w:jc w:val="both"/>
        <w:rPr>
          <w:szCs w:val="24"/>
          <w:lang w:val="en-GB"/>
        </w:rPr>
      </w:pPr>
      <w:r w:rsidRPr="005641A9">
        <w:rPr>
          <w:szCs w:val="24"/>
          <w:lang w:val="en-GB"/>
        </w:rPr>
        <w:t xml:space="preserve">Irlen syndrome (IS) – also </w:t>
      </w:r>
      <w:r w:rsidR="00591125" w:rsidRPr="005641A9">
        <w:rPr>
          <w:szCs w:val="24"/>
          <w:lang w:val="en-GB"/>
        </w:rPr>
        <w:t>known</w:t>
      </w:r>
      <w:r w:rsidRPr="005641A9">
        <w:rPr>
          <w:szCs w:val="24"/>
          <w:lang w:val="en-GB"/>
        </w:rPr>
        <w:t xml:space="preserve"> as scotopic sensitivity syndrome, Meares-Irlen syndrome, or Visual Stress – is a visual perceptual processing disorder that affects reading, characteri</w:t>
      </w:r>
      <w:r w:rsidR="005641A9">
        <w:rPr>
          <w:szCs w:val="24"/>
          <w:lang w:val="en-GB"/>
        </w:rPr>
        <w:t>s</w:t>
      </w:r>
      <w:r w:rsidRPr="005641A9">
        <w:rPr>
          <w:szCs w:val="24"/>
          <w:lang w:val="en-GB"/>
        </w:rPr>
        <w:t xml:space="preserve">ed by perceptual visual distortions and physical discomfort (Irlen, 2005; Wilkins et al., 1984). It is not considered to cause or </w:t>
      </w:r>
      <w:r w:rsidR="00591125" w:rsidRPr="005641A9">
        <w:rPr>
          <w:szCs w:val="24"/>
          <w:lang w:val="en-GB"/>
        </w:rPr>
        <w:t xml:space="preserve">to </w:t>
      </w:r>
      <w:r w:rsidRPr="005641A9">
        <w:rPr>
          <w:szCs w:val="24"/>
          <w:lang w:val="en-GB"/>
        </w:rPr>
        <w:t>be related to language problems, that is, IS only affects the visual perceptual characteristics in reading.</w:t>
      </w:r>
    </w:p>
    <w:p w14:paraId="310EE84A" w14:textId="524F1304" w:rsidR="00E51486" w:rsidRPr="005641A9" w:rsidRDefault="00E51486" w:rsidP="002E1E22">
      <w:pPr>
        <w:spacing w:line="240" w:lineRule="auto"/>
        <w:ind w:firstLine="720"/>
        <w:jc w:val="both"/>
        <w:rPr>
          <w:szCs w:val="24"/>
          <w:lang w:val="en-GB"/>
        </w:rPr>
      </w:pPr>
      <w:r w:rsidRPr="005641A9">
        <w:rPr>
          <w:szCs w:val="24"/>
          <w:lang w:val="en-GB"/>
        </w:rPr>
        <w:t xml:space="preserve">Most studies that define IS point out the Magnocellular deficit Theory </w:t>
      </w:r>
      <w:r w:rsidRPr="005641A9">
        <w:rPr>
          <w:rFonts w:eastAsia="Times New Roman"/>
          <w:color w:val="000000" w:themeColor="text1"/>
          <w:szCs w:val="24"/>
          <w:lang w:val="en-GB"/>
        </w:rPr>
        <w:t xml:space="preserve">as its </w:t>
      </w:r>
      <w:r w:rsidR="002E513E" w:rsidRPr="005641A9">
        <w:rPr>
          <w:rFonts w:eastAsia="Times New Roman"/>
          <w:color w:val="000000" w:themeColor="text1"/>
          <w:szCs w:val="24"/>
          <w:lang w:val="en-GB"/>
        </w:rPr>
        <w:t>primary</w:t>
      </w:r>
      <w:r w:rsidRPr="005641A9">
        <w:rPr>
          <w:rFonts w:eastAsia="Times New Roman"/>
          <w:color w:val="000000" w:themeColor="text1"/>
          <w:szCs w:val="24"/>
          <w:lang w:val="en-GB"/>
        </w:rPr>
        <w:t xml:space="preserve"> cause </w:t>
      </w:r>
      <w:r w:rsidRPr="005641A9">
        <w:rPr>
          <w:szCs w:val="24"/>
          <w:lang w:val="en-GB"/>
        </w:rPr>
        <w:t xml:space="preserve">(Nandakumar </w:t>
      </w:r>
      <w:r w:rsidRPr="005641A9">
        <w:rPr>
          <w:color w:val="000000" w:themeColor="text1"/>
          <w:szCs w:val="24"/>
          <w:lang w:val="en-GB"/>
        </w:rPr>
        <w:t>&amp;</w:t>
      </w:r>
      <w:r w:rsidRPr="005641A9">
        <w:rPr>
          <w:szCs w:val="24"/>
          <w:lang w:val="en-GB"/>
        </w:rPr>
        <w:t xml:space="preserve"> Leat, 2008). This theory proposes that an alteration in the magnocellular system is characteri</w:t>
      </w:r>
      <w:r w:rsidR="005641A9">
        <w:rPr>
          <w:szCs w:val="24"/>
          <w:lang w:val="en-GB"/>
        </w:rPr>
        <w:t>s</w:t>
      </w:r>
      <w:r w:rsidRPr="005641A9">
        <w:rPr>
          <w:szCs w:val="24"/>
          <w:lang w:val="en-GB"/>
        </w:rPr>
        <w:t>ed by saturation in the magnocellular cells (MC, from hereon) and inhibition of the parvocellular cells (PC, from hereon). Galaburda and Cestnick (2003) found that MC and PC cells,</w:t>
      </w:r>
      <w:r w:rsidRPr="005641A9">
        <w:rPr>
          <w:rFonts w:eastAsia="Times New Roman"/>
          <w:color w:val="000000" w:themeColor="text1"/>
          <w:szCs w:val="24"/>
          <w:lang w:val="en-GB"/>
        </w:rPr>
        <w:t xml:space="preserve"> integrated into the lateral geniculate nucleus,</w:t>
      </w:r>
      <w:r w:rsidRPr="005641A9">
        <w:rPr>
          <w:szCs w:val="24"/>
          <w:lang w:val="en-GB"/>
        </w:rPr>
        <w:t xml:space="preserve"> are responsible for the assimilation of reading. This overlap between the MC system (in charge of information on movement, stereopsis, location, and depth) and the PC system (responsible for </w:t>
      </w:r>
      <w:r w:rsidR="005641A9" w:rsidRPr="005641A9">
        <w:rPr>
          <w:szCs w:val="24"/>
          <w:lang w:val="en-GB"/>
        </w:rPr>
        <w:t>colour</w:t>
      </w:r>
      <w:r w:rsidRPr="005641A9">
        <w:rPr>
          <w:szCs w:val="24"/>
          <w:lang w:val="en-GB"/>
        </w:rPr>
        <w:t xml:space="preserve"> perception, recognition, and resolution) would allow the information to be organized when reading (</w:t>
      </w:r>
      <w:r w:rsidRPr="005641A9">
        <w:rPr>
          <w:noProof/>
          <w:szCs w:val="24"/>
          <w:lang w:val="en-GB"/>
        </w:rPr>
        <w:t xml:space="preserve">Galaburda </w:t>
      </w:r>
      <w:r w:rsidRPr="005641A9">
        <w:rPr>
          <w:color w:val="000000" w:themeColor="text1"/>
          <w:szCs w:val="24"/>
          <w:lang w:val="en-GB"/>
        </w:rPr>
        <w:t>&amp;</w:t>
      </w:r>
      <w:r w:rsidRPr="005641A9">
        <w:rPr>
          <w:noProof/>
          <w:szCs w:val="24"/>
          <w:lang w:val="en-GB"/>
        </w:rPr>
        <w:t xml:space="preserve"> Livingstone, 1991</w:t>
      </w:r>
      <w:r w:rsidRPr="005641A9">
        <w:rPr>
          <w:szCs w:val="24"/>
          <w:lang w:val="en-GB"/>
        </w:rPr>
        <w:t xml:space="preserve">). It would explain that a failure in this overlap would result in the impossibility of reading fluently. </w:t>
      </w:r>
      <w:r w:rsidR="002E513E" w:rsidRPr="005641A9">
        <w:rPr>
          <w:szCs w:val="24"/>
          <w:lang w:val="en-GB"/>
        </w:rPr>
        <w:t>F</w:t>
      </w:r>
      <w:r w:rsidRPr="005641A9">
        <w:rPr>
          <w:szCs w:val="24"/>
          <w:lang w:val="en-GB"/>
        </w:rPr>
        <w:t>ailure in the magnocellular system could generate binocular destabilization, instability in the perception of stimuli, or the sensation of moving letters (Stein, 2001).</w:t>
      </w:r>
    </w:p>
    <w:p w14:paraId="43AE1E77" w14:textId="77777777" w:rsidR="00811A82" w:rsidRPr="005641A9" w:rsidRDefault="00811A82" w:rsidP="002E1E22">
      <w:pPr>
        <w:spacing w:line="240" w:lineRule="auto"/>
        <w:ind w:firstLine="720"/>
        <w:jc w:val="both"/>
        <w:rPr>
          <w:szCs w:val="24"/>
          <w:lang w:val="en-GB"/>
        </w:rPr>
      </w:pPr>
      <w:r w:rsidRPr="005641A9">
        <w:rPr>
          <w:szCs w:val="24"/>
          <w:lang w:val="en-GB"/>
        </w:rPr>
        <w:t xml:space="preserve">The relation between visual processes and reading problems has become a widely debated subject, especially with the studies of Helen Irlen (Irlen, 1983). Irlen mentioned the existence of a perceptual dysfunction in reading processes that is not exclusive to dyslexia. From this appreciation, Irlen (2005) stated that perceptual problems could be one of the variables related to reading problems. There is also comorbidity with other pathologies, as other subsequent studies have found (Rello &amp; Bigham, 2017). </w:t>
      </w:r>
    </w:p>
    <w:p w14:paraId="5E7ADB1A" w14:textId="6EC2707B" w:rsidR="007B1E04" w:rsidRPr="005641A9" w:rsidRDefault="007B1E04" w:rsidP="002E1E22">
      <w:pPr>
        <w:spacing w:line="240" w:lineRule="auto"/>
        <w:ind w:firstLine="720"/>
        <w:jc w:val="both"/>
        <w:rPr>
          <w:color w:val="4472C4" w:themeColor="accent1"/>
          <w:szCs w:val="24"/>
          <w:lang w:val="en-GB"/>
        </w:rPr>
      </w:pPr>
      <w:r w:rsidRPr="005641A9">
        <w:rPr>
          <w:szCs w:val="24"/>
          <w:lang w:val="en-GB"/>
        </w:rPr>
        <w:t>According to Wilkins et al. (2016), dyslexia should not be confused with visual stress (VS). Galaburda and Cestnick (2003) pointed out that the origin of dyslexia is related to more complex cerebral processes. These researchers also indicate that the concept of visual stress is still controversial because of publicity on unknown methods and partly because of biased reviews. Additionally, Wilkins et al. (1984) argue</w:t>
      </w:r>
      <w:r w:rsidR="009468BF" w:rsidRPr="005641A9">
        <w:rPr>
          <w:szCs w:val="24"/>
          <w:lang w:val="en-GB"/>
        </w:rPr>
        <w:t>d</w:t>
      </w:r>
      <w:r w:rsidRPr="005641A9">
        <w:rPr>
          <w:szCs w:val="24"/>
          <w:lang w:val="en-GB"/>
        </w:rPr>
        <w:t xml:space="preserve"> that even though a reading text might look like </w:t>
      </w:r>
      <w:r w:rsidRPr="005641A9">
        <w:rPr>
          <w:rFonts w:eastAsia="Times New Roman"/>
          <w:color w:val="000000" w:themeColor="text1"/>
          <w:szCs w:val="24"/>
          <w:lang w:val="en-GB"/>
        </w:rPr>
        <w:t xml:space="preserve">confusing lines or </w:t>
      </w:r>
      <w:r w:rsidRPr="005641A9">
        <w:rPr>
          <w:szCs w:val="24"/>
          <w:lang w:val="en-GB"/>
        </w:rPr>
        <w:t>patterns of stripes for Irlen sufferers; as part of their educational task compliance, they must read texts. This activity can be a challenging assignment for some children or adults who have symptoms of visual stress or Irlen syndrome.</w:t>
      </w:r>
    </w:p>
    <w:p w14:paraId="4109C4EE" w14:textId="43D44E81" w:rsidR="00E401FF" w:rsidRPr="005641A9" w:rsidRDefault="00E401FF" w:rsidP="002E1E22">
      <w:pPr>
        <w:spacing w:line="240" w:lineRule="auto"/>
        <w:ind w:firstLine="720"/>
        <w:jc w:val="both"/>
        <w:rPr>
          <w:rFonts w:eastAsia="Times New Roman"/>
          <w:szCs w:val="24"/>
          <w:lang w:val="en-GB"/>
        </w:rPr>
      </w:pPr>
      <w:r w:rsidRPr="005641A9">
        <w:rPr>
          <w:szCs w:val="24"/>
          <w:lang w:val="en-GB"/>
        </w:rPr>
        <w:t>Regarding the incidence of IS, studies carried out in the United States (</w:t>
      </w:r>
      <w:r w:rsidRPr="005641A9">
        <w:rPr>
          <w:rFonts w:eastAsia="Times New Roman"/>
          <w:szCs w:val="24"/>
          <w:lang w:val="en-GB"/>
        </w:rPr>
        <w:t>Johnson et al., 2000), Australia (Robinson et al., 1995) and England (</w:t>
      </w:r>
      <w:r w:rsidR="00E00B56" w:rsidRPr="005641A9">
        <w:rPr>
          <w:rFonts w:eastAsia="Times New Roman"/>
          <w:szCs w:val="24"/>
          <w:lang w:val="en-GB"/>
        </w:rPr>
        <w:t xml:space="preserve">Jeanes et al., 1997; </w:t>
      </w:r>
      <w:r w:rsidRPr="005641A9">
        <w:rPr>
          <w:rFonts w:eastAsia="Times New Roman"/>
          <w:szCs w:val="24"/>
          <w:lang w:val="en-GB"/>
        </w:rPr>
        <w:t>Scott et al., 2002; Wilkins et</w:t>
      </w:r>
      <w:r w:rsidRPr="005641A9">
        <w:rPr>
          <w:rFonts w:eastAsia="Times New Roman"/>
          <w:i/>
          <w:iCs/>
          <w:szCs w:val="24"/>
          <w:lang w:val="en-GB"/>
        </w:rPr>
        <w:t xml:space="preserve"> </w:t>
      </w:r>
      <w:r w:rsidRPr="005641A9">
        <w:rPr>
          <w:rFonts w:eastAsia="Times New Roman"/>
          <w:szCs w:val="24"/>
          <w:lang w:val="en-GB"/>
        </w:rPr>
        <w:t xml:space="preserve">al., 2001) stated that the incidence rate of moderate / severe or significantly affected IS </w:t>
      </w:r>
      <w:r w:rsidR="002F7CD4" w:rsidRPr="005641A9">
        <w:rPr>
          <w:rFonts w:eastAsia="Times New Roman"/>
          <w:szCs w:val="24"/>
          <w:lang w:val="en-GB"/>
        </w:rPr>
        <w:t xml:space="preserve">ranges between </w:t>
      </w:r>
      <w:r w:rsidRPr="005641A9">
        <w:rPr>
          <w:rFonts w:eastAsia="Times New Roman"/>
          <w:szCs w:val="24"/>
          <w:lang w:val="en-GB"/>
        </w:rPr>
        <w:t xml:space="preserve">12 </w:t>
      </w:r>
      <w:r w:rsidR="002F7CD4" w:rsidRPr="005641A9">
        <w:rPr>
          <w:rFonts w:eastAsia="Times New Roman"/>
          <w:szCs w:val="24"/>
          <w:lang w:val="en-GB"/>
        </w:rPr>
        <w:t xml:space="preserve">and </w:t>
      </w:r>
      <w:r w:rsidRPr="005641A9">
        <w:rPr>
          <w:rFonts w:eastAsia="Times New Roman"/>
          <w:szCs w:val="24"/>
          <w:lang w:val="en-GB"/>
        </w:rPr>
        <w:t>15%</w:t>
      </w:r>
      <w:r w:rsidRPr="005641A9">
        <w:rPr>
          <w:szCs w:val="24"/>
          <w:lang w:val="en-GB"/>
        </w:rPr>
        <w:t xml:space="preserve"> </w:t>
      </w:r>
      <w:r w:rsidR="00AD0F9F" w:rsidRPr="005641A9">
        <w:rPr>
          <w:szCs w:val="24"/>
          <w:lang w:val="en-GB"/>
        </w:rPr>
        <w:t>of</w:t>
      </w:r>
      <w:r w:rsidRPr="005641A9">
        <w:rPr>
          <w:szCs w:val="24"/>
          <w:lang w:val="en-GB"/>
        </w:rPr>
        <w:t xml:space="preserve"> the general population and a 40% </w:t>
      </w:r>
      <w:r w:rsidR="00AD0F9F" w:rsidRPr="005641A9">
        <w:rPr>
          <w:szCs w:val="24"/>
          <w:lang w:val="en-GB"/>
        </w:rPr>
        <w:t xml:space="preserve">of </w:t>
      </w:r>
      <w:r w:rsidRPr="005641A9">
        <w:rPr>
          <w:szCs w:val="24"/>
          <w:lang w:val="en-GB"/>
        </w:rPr>
        <w:t>dyslexic</w:t>
      </w:r>
      <w:r w:rsidR="00AD0F9F" w:rsidRPr="005641A9">
        <w:rPr>
          <w:szCs w:val="24"/>
          <w:lang w:val="en-GB"/>
        </w:rPr>
        <w:t xml:space="preserve"> people</w:t>
      </w:r>
      <w:r w:rsidRPr="005641A9">
        <w:rPr>
          <w:szCs w:val="24"/>
          <w:lang w:val="en-GB"/>
        </w:rPr>
        <w:t xml:space="preserve">. However, not all these studies inform about the instrument used to identify IS, its index of reliability, and its validity. </w:t>
      </w:r>
    </w:p>
    <w:p w14:paraId="3C5A7172" w14:textId="6D08054E" w:rsidR="4C9CB5AB" w:rsidRPr="005641A9" w:rsidRDefault="038686E3" w:rsidP="002E1E22">
      <w:pPr>
        <w:spacing w:line="240" w:lineRule="auto"/>
        <w:ind w:firstLine="720"/>
        <w:jc w:val="both"/>
        <w:rPr>
          <w:szCs w:val="24"/>
          <w:lang w:val="en-GB"/>
        </w:rPr>
      </w:pPr>
      <w:r w:rsidRPr="005641A9">
        <w:rPr>
          <w:szCs w:val="24"/>
          <w:lang w:val="en-GB"/>
        </w:rPr>
        <w:t xml:space="preserve">Some studies (Altman, 2003; </w:t>
      </w:r>
      <w:r w:rsidR="00E00B56" w:rsidRPr="005641A9">
        <w:rPr>
          <w:szCs w:val="24"/>
          <w:lang w:val="en-GB"/>
        </w:rPr>
        <w:t xml:space="preserve">Guimarães </w:t>
      </w:r>
      <w:r w:rsidR="00E00B56" w:rsidRPr="005641A9">
        <w:rPr>
          <w:color w:val="000000" w:themeColor="text1"/>
          <w:szCs w:val="24"/>
          <w:lang w:val="en-GB"/>
        </w:rPr>
        <w:t>&amp;</w:t>
      </w:r>
      <w:r w:rsidR="00E00B56" w:rsidRPr="005641A9">
        <w:rPr>
          <w:szCs w:val="24"/>
          <w:lang w:val="en-GB"/>
        </w:rPr>
        <w:t xml:space="preserve"> Guimarães, 2013; Miyasaka et al., 2019; </w:t>
      </w:r>
      <w:r w:rsidRPr="005641A9">
        <w:rPr>
          <w:szCs w:val="24"/>
          <w:lang w:val="en-GB"/>
        </w:rPr>
        <w:t>Sacoman, 2020; Wilkins</w:t>
      </w:r>
      <w:r w:rsidR="001C215F" w:rsidRPr="005641A9">
        <w:rPr>
          <w:szCs w:val="24"/>
          <w:lang w:val="en-GB"/>
        </w:rPr>
        <w:t xml:space="preserve"> et al.</w:t>
      </w:r>
      <w:r w:rsidRPr="005641A9">
        <w:rPr>
          <w:szCs w:val="24"/>
          <w:lang w:val="en-GB"/>
        </w:rPr>
        <w:t xml:space="preserve">, 2001) </w:t>
      </w:r>
      <w:r w:rsidR="005151D3" w:rsidRPr="005641A9">
        <w:rPr>
          <w:szCs w:val="24"/>
          <w:lang w:val="en-GB"/>
        </w:rPr>
        <w:t>showed</w:t>
      </w:r>
      <w:r w:rsidRPr="005641A9">
        <w:rPr>
          <w:szCs w:val="24"/>
          <w:lang w:val="en-GB"/>
        </w:rPr>
        <w:t xml:space="preserve"> that there are six main visual alterations in IS: photophobia (resistance and sensitivity to light or complaints of brightness/reflections of white paper), contrast distortions (difficulty adapting between light and dark), problems in a visuospatial resolution (sensation of blurring and movement of letters), restriction of the focal range (low ability </w:t>
      </w:r>
      <w:r w:rsidRPr="005641A9">
        <w:rPr>
          <w:szCs w:val="24"/>
          <w:lang w:val="en-GB"/>
        </w:rPr>
        <w:lastRenderedPageBreak/>
        <w:t xml:space="preserve">to focus on the most relevant parts of the text and poor collection of characters in each fixation), difficulty in maintaining focus (premature fatigue or visual stress) and problems with depth perception. Similarly, Guimarães (2011) </w:t>
      </w:r>
      <w:r w:rsidR="00A0119F" w:rsidRPr="005641A9">
        <w:rPr>
          <w:szCs w:val="24"/>
          <w:lang w:val="en-GB"/>
        </w:rPr>
        <w:t xml:space="preserve">noted that </w:t>
      </w:r>
      <w:r w:rsidRPr="005641A9">
        <w:rPr>
          <w:szCs w:val="24"/>
          <w:lang w:val="en-GB"/>
        </w:rPr>
        <w:t xml:space="preserve">these problems are observed as tearing and a burning sensation that, consequently, produces fatigue, the need to </w:t>
      </w:r>
      <w:r w:rsidR="00A0119F" w:rsidRPr="005641A9">
        <w:rPr>
          <w:szCs w:val="24"/>
          <w:lang w:val="en-GB"/>
        </w:rPr>
        <w:t>rub</w:t>
      </w:r>
      <w:r w:rsidRPr="005641A9">
        <w:rPr>
          <w:szCs w:val="24"/>
          <w:lang w:val="en-GB"/>
        </w:rPr>
        <w:t xml:space="preserve"> the eyes, and the presence of headaches.</w:t>
      </w:r>
    </w:p>
    <w:p w14:paraId="3D6CE12C" w14:textId="1C8E5C65" w:rsidR="00BF671D" w:rsidRPr="005641A9" w:rsidRDefault="00BF671D" w:rsidP="002E1E22">
      <w:pPr>
        <w:spacing w:line="240" w:lineRule="auto"/>
        <w:ind w:firstLine="720"/>
        <w:jc w:val="both"/>
        <w:rPr>
          <w:szCs w:val="24"/>
          <w:lang w:val="en-GB"/>
        </w:rPr>
      </w:pPr>
      <w:r w:rsidRPr="005641A9">
        <w:rPr>
          <w:szCs w:val="24"/>
          <w:lang w:val="en-GB"/>
        </w:rPr>
        <w:t>Studies on IS such as that of Kriss and Evans (2005) and Seychell (2018) showed that the physical discomfort of a student with Irlen syndrome is characteri</w:t>
      </w:r>
      <w:r w:rsidR="005641A9">
        <w:rPr>
          <w:szCs w:val="24"/>
          <w:lang w:val="en-GB"/>
        </w:rPr>
        <w:t>s</w:t>
      </w:r>
      <w:r w:rsidRPr="005641A9">
        <w:rPr>
          <w:szCs w:val="24"/>
          <w:lang w:val="en-GB"/>
        </w:rPr>
        <w:t xml:space="preserve">ed by headaches, nausea, tiredness, and sleepiness while reading, as well as problems in math, reading music notes, copying, writing, and skipping and misreading words. Irlen (2010) considered that these difficulties cause other types of </w:t>
      </w:r>
      <w:r w:rsidR="005641A9" w:rsidRPr="005641A9">
        <w:rPr>
          <w:szCs w:val="24"/>
          <w:lang w:val="en-GB"/>
        </w:rPr>
        <w:t>behaviours</w:t>
      </w:r>
      <w:r w:rsidRPr="005641A9">
        <w:rPr>
          <w:szCs w:val="24"/>
          <w:lang w:val="en-GB"/>
        </w:rPr>
        <w:t xml:space="preserve">, such as avoiding reading, being easily distracted, searching for spaces with dim light to read. Irlen also mentioned that IS patients reread texts for comprehension, delay compliance with tasks, and create other learning strategies, like </w:t>
      </w:r>
      <w:r w:rsidR="00C55A98" w:rsidRPr="005641A9">
        <w:rPr>
          <w:szCs w:val="24"/>
          <w:lang w:val="en-GB"/>
        </w:rPr>
        <w:t>“</w:t>
      </w:r>
      <w:r w:rsidRPr="005641A9">
        <w:rPr>
          <w:szCs w:val="24"/>
          <w:lang w:val="en-GB"/>
        </w:rPr>
        <w:t>auditory learners</w:t>
      </w:r>
      <w:r w:rsidR="00C55A98" w:rsidRPr="005641A9">
        <w:rPr>
          <w:szCs w:val="24"/>
          <w:lang w:val="en-GB"/>
        </w:rPr>
        <w:t>”</w:t>
      </w:r>
      <w:r w:rsidRPr="005641A9">
        <w:rPr>
          <w:szCs w:val="24"/>
          <w:lang w:val="en-GB"/>
        </w:rPr>
        <w:t xml:space="preserve"> who prefer listening to having to read. Additionally, Stone (2003) stated that symptoms of IS, ADHD, and Dyslexia can overlap. </w:t>
      </w:r>
    </w:p>
    <w:p w14:paraId="4D6B5ECC" w14:textId="1FA2E0DF" w:rsidR="004B3CCD" w:rsidRPr="005641A9" w:rsidRDefault="4F7C5711" w:rsidP="002E1E22">
      <w:pPr>
        <w:spacing w:line="240" w:lineRule="auto"/>
        <w:ind w:firstLine="720"/>
        <w:jc w:val="both"/>
        <w:rPr>
          <w:szCs w:val="24"/>
          <w:lang w:val="en-GB"/>
        </w:rPr>
      </w:pPr>
      <w:r w:rsidRPr="005641A9">
        <w:rPr>
          <w:color w:val="4471C4"/>
          <w:szCs w:val="24"/>
          <w:lang w:val="en-GB"/>
        </w:rPr>
        <w:t xml:space="preserve"> </w:t>
      </w:r>
      <w:r w:rsidRPr="005641A9">
        <w:rPr>
          <w:szCs w:val="24"/>
          <w:lang w:val="en-GB"/>
        </w:rPr>
        <w:t>However</w:t>
      </w:r>
      <w:r w:rsidRPr="005641A9">
        <w:rPr>
          <w:color w:val="4471C4"/>
          <w:szCs w:val="24"/>
          <w:lang w:val="en-GB"/>
        </w:rPr>
        <w:t xml:space="preserve">, </w:t>
      </w:r>
      <w:r w:rsidRPr="005641A9">
        <w:rPr>
          <w:rFonts w:eastAsia="Times New Roman"/>
          <w:szCs w:val="24"/>
          <w:lang w:val="en-GB"/>
        </w:rPr>
        <w:t>Sacoman (2020) indicated that signs such as speech, writing or auditory perception disturbances, inverted writing, incorrect pronunciation, or failure to understand verbal instructions are not associated with IS</w:t>
      </w:r>
      <w:r w:rsidRPr="005641A9">
        <w:rPr>
          <w:szCs w:val="24"/>
          <w:lang w:val="en-GB"/>
        </w:rPr>
        <w:t>. Therefore, it is crucial to underline that we can differentiate reading comprehension problems in IS due to their perceptual nature. Consequently, visual comprehension could be affected without any disturbance to oral comprehension.</w:t>
      </w:r>
    </w:p>
    <w:p w14:paraId="0F890903" w14:textId="0790F454" w:rsidR="00535703" w:rsidRPr="005641A9" w:rsidRDefault="07AE4154" w:rsidP="002E1E22">
      <w:pPr>
        <w:spacing w:line="240" w:lineRule="auto"/>
        <w:ind w:firstLine="720"/>
        <w:jc w:val="both"/>
        <w:rPr>
          <w:rFonts w:eastAsia="Times New Roman"/>
          <w:szCs w:val="24"/>
          <w:lang w:val="en-GB"/>
        </w:rPr>
      </w:pPr>
      <w:r w:rsidRPr="005641A9">
        <w:rPr>
          <w:szCs w:val="24"/>
          <w:lang w:val="en-GB"/>
        </w:rPr>
        <w:t xml:space="preserve">Among the IS reading difficulties, Guimarães and Guimarães (2013) found problems in reading acquisition among Brazilian students. These authors also noticed that, although they had good verbal fluency, reasoning agility, intelligence, and were participatory, students with IS tended to fail a lot in reading tasks. In addition, Brien et al. (2013) highlighted that the signs present in the reading of people with </w:t>
      </w:r>
      <w:bookmarkStart w:id="1" w:name="_Int_ZGdMIzqd"/>
      <w:r w:rsidRPr="005641A9">
        <w:rPr>
          <w:szCs w:val="24"/>
          <w:lang w:val="en-GB"/>
        </w:rPr>
        <w:t>IS can be</w:t>
      </w:r>
      <w:bookmarkEnd w:id="1"/>
      <w:r w:rsidRPr="005641A9">
        <w:rPr>
          <w:szCs w:val="24"/>
          <w:lang w:val="en-GB"/>
        </w:rPr>
        <w:t xml:space="preserve">: slow reading with excessive pauses between words, difficulties with white background sheets, hard to read for long periods, and continuous repetition to achieve comprehension, often resulting in little desire and motivation to learn. Along the same lines, other authors suggested that using </w:t>
      </w:r>
      <w:r w:rsidR="005641A9" w:rsidRPr="005641A9">
        <w:rPr>
          <w:szCs w:val="24"/>
          <w:lang w:val="en-GB"/>
        </w:rPr>
        <w:t>colour</w:t>
      </w:r>
      <w:r w:rsidRPr="005641A9">
        <w:rPr>
          <w:szCs w:val="24"/>
          <w:lang w:val="en-GB"/>
        </w:rPr>
        <w:t xml:space="preserve"> through spectral overlays or </w:t>
      </w:r>
      <w:r w:rsidR="005641A9" w:rsidRPr="005641A9">
        <w:rPr>
          <w:szCs w:val="24"/>
          <w:lang w:val="en-GB"/>
        </w:rPr>
        <w:t>coloured</w:t>
      </w:r>
      <w:r w:rsidRPr="005641A9">
        <w:rPr>
          <w:szCs w:val="24"/>
          <w:lang w:val="en-GB"/>
        </w:rPr>
        <w:t xml:space="preserve"> lenses would </w:t>
      </w:r>
      <w:r w:rsidR="008A23AB" w:rsidRPr="005641A9">
        <w:rPr>
          <w:szCs w:val="24"/>
          <w:lang w:val="en-GB"/>
        </w:rPr>
        <w:t>favour</w:t>
      </w:r>
      <w:r w:rsidRPr="005641A9">
        <w:rPr>
          <w:szCs w:val="24"/>
          <w:lang w:val="en-GB"/>
        </w:rPr>
        <w:t xml:space="preserve"> reading processes (Irlen, 1983; Monger et al., 2015). </w:t>
      </w:r>
      <w:r w:rsidRPr="005641A9">
        <w:rPr>
          <w:rFonts w:eastAsia="Times New Roman"/>
          <w:szCs w:val="24"/>
          <w:lang w:val="en-GB"/>
        </w:rPr>
        <w:t xml:space="preserve">Wilkins (2003) also mentioned that despite the controversy of the insufficient scientific evidence regarding the use of </w:t>
      </w:r>
      <w:r w:rsidR="005641A9" w:rsidRPr="005641A9">
        <w:rPr>
          <w:rFonts w:eastAsia="Times New Roman"/>
          <w:szCs w:val="24"/>
          <w:lang w:val="en-GB"/>
        </w:rPr>
        <w:t>colour</w:t>
      </w:r>
      <w:r w:rsidRPr="005641A9">
        <w:rPr>
          <w:rFonts w:eastAsia="Times New Roman"/>
          <w:szCs w:val="24"/>
          <w:lang w:val="en-GB"/>
        </w:rPr>
        <w:t xml:space="preserve"> to improve reading performance, </w:t>
      </w:r>
      <w:r w:rsidR="005641A9" w:rsidRPr="005641A9">
        <w:rPr>
          <w:rFonts w:eastAsia="Times New Roman"/>
          <w:szCs w:val="24"/>
          <w:lang w:val="en-GB"/>
        </w:rPr>
        <w:t>coloured</w:t>
      </w:r>
      <w:r w:rsidRPr="005641A9">
        <w:rPr>
          <w:rFonts w:eastAsia="Times New Roman"/>
          <w:szCs w:val="24"/>
          <w:lang w:val="en-GB"/>
        </w:rPr>
        <w:t xml:space="preserve"> overlays can be an aid to tackle some of the symptoms of visual stress, even headaches when reading, and improve reading speed. </w:t>
      </w:r>
    </w:p>
    <w:p w14:paraId="1DF73965" w14:textId="7005DEAD" w:rsidR="004B3CCD" w:rsidRPr="005641A9" w:rsidRDefault="001C1939" w:rsidP="002E1E22">
      <w:pPr>
        <w:spacing w:line="240" w:lineRule="auto"/>
        <w:ind w:firstLine="720"/>
        <w:jc w:val="both"/>
        <w:rPr>
          <w:szCs w:val="24"/>
          <w:highlight w:val="cyan"/>
          <w:lang w:val="en-GB"/>
        </w:rPr>
      </w:pPr>
      <w:r w:rsidRPr="005641A9">
        <w:rPr>
          <w:szCs w:val="24"/>
          <w:lang w:val="en-GB"/>
        </w:rPr>
        <w:t xml:space="preserve">Previous studies </w:t>
      </w:r>
      <w:r w:rsidR="0005129E" w:rsidRPr="005641A9">
        <w:rPr>
          <w:szCs w:val="24"/>
          <w:lang w:val="en-GB"/>
        </w:rPr>
        <w:t xml:space="preserve">on </w:t>
      </w:r>
      <w:r w:rsidRPr="005641A9">
        <w:rPr>
          <w:szCs w:val="24"/>
          <w:lang w:val="en-GB"/>
        </w:rPr>
        <w:t xml:space="preserve">reading and IS with empirical evidence are limited. However, Tacuri-Reino et al. (2018) </w:t>
      </w:r>
      <w:r w:rsidR="005D6F8A" w:rsidRPr="005641A9">
        <w:rPr>
          <w:szCs w:val="24"/>
          <w:lang w:val="en-GB"/>
        </w:rPr>
        <w:t xml:space="preserve">identified </w:t>
      </w:r>
      <w:r w:rsidRPr="005641A9">
        <w:rPr>
          <w:szCs w:val="24"/>
          <w:lang w:val="en-GB"/>
        </w:rPr>
        <w:t xml:space="preserve">differences between Irlen and non-Irlen groups. For the reading tasks, the authors used two 100-word stories and recorded the errors in reading and comprehension skills. For the evaluation process </w:t>
      </w:r>
      <w:r w:rsidR="00D047E2" w:rsidRPr="005641A9">
        <w:rPr>
          <w:szCs w:val="24"/>
          <w:lang w:val="en-GB"/>
        </w:rPr>
        <w:t>of</w:t>
      </w:r>
      <w:r w:rsidRPr="005641A9">
        <w:rPr>
          <w:szCs w:val="24"/>
          <w:lang w:val="en-GB"/>
        </w:rPr>
        <w:t xml:space="preserve"> the reading comprehension, </w:t>
      </w:r>
      <w:r w:rsidR="0005129E" w:rsidRPr="005641A9">
        <w:rPr>
          <w:szCs w:val="24"/>
          <w:lang w:val="en-GB"/>
        </w:rPr>
        <w:t>the number of questions</w:t>
      </w:r>
      <w:r w:rsidR="007D7E69" w:rsidRPr="005641A9">
        <w:rPr>
          <w:szCs w:val="24"/>
          <w:lang w:val="en-GB"/>
        </w:rPr>
        <w:t xml:space="preserve"> correctly</w:t>
      </w:r>
      <w:r w:rsidR="0005129E" w:rsidRPr="005641A9">
        <w:rPr>
          <w:szCs w:val="24"/>
          <w:lang w:val="en-GB"/>
        </w:rPr>
        <w:t xml:space="preserve"> </w:t>
      </w:r>
      <w:r w:rsidR="00D047E2" w:rsidRPr="005641A9">
        <w:rPr>
          <w:szCs w:val="24"/>
          <w:lang w:val="en-GB"/>
        </w:rPr>
        <w:t>answered</w:t>
      </w:r>
      <w:r w:rsidR="0005129E" w:rsidRPr="005641A9">
        <w:rPr>
          <w:szCs w:val="24"/>
          <w:lang w:val="en-GB"/>
        </w:rPr>
        <w:t xml:space="preserve"> </w:t>
      </w:r>
      <w:r w:rsidRPr="005641A9">
        <w:rPr>
          <w:szCs w:val="24"/>
          <w:lang w:val="en-GB"/>
        </w:rPr>
        <w:t>was considered, and for the reading skills, the omissions or substitutions of words and punctuation marks</w:t>
      </w:r>
      <w:r w:rsidR="0005129E" w:rsidRPr="005641A9">
        <w:rPr>
          <w:szCs w:val="24"/>
          <w:lang w:val="en-GB"/>
        </w:rPr>
        <w:t xml:space="preserve"> were considered</w:t>
      </w:r>
      <w:r w:rsidRPr="005641A9">
        <w:rPr>
          <w:szCs w:val="24"/>
          <w:lang w:val="en-GB"/>
        </w:rPr>
        <w:t xml:space="preserve">. Nonetheless, </w:t>
      </w:r>
      <w:r w:rsidR="00D047E2" w:rsidRPr="005641A9">
        <w:rPr>
          <w:szCs w:val="24"/>
          <w:lang w:val="en-GB"/>
        </w:rPr>
        <w:t>these authors did not specify whether</w:t>
      </w:r>
      <w:r w:rsidRPr="005641A9">
        <w:rPr>
          <w:szCs w:val="24"/>
          <w:lang w:val="en-GB"/>
        </w:rPr>
        <w:t xml:space="preserve"> the</w:t>
      </w:r>
      <w:r w:rsidR="003018E0" w:rsidRPr="005641A9">
        <w:rPr>
          <w:szCs w:val="24"/>
          <w:lang w:val="en-GB"/>
        </w:rPr>
        <w:t>se</w:t>
      </w:r>
      <w:r w:rsidRPr="005641A9">
        <w:rPr>
          <w:szCs w:val="24"/>
          <w:lang w:val="en-GB"/>
        </w:rPr>
        <w:t xml:space="preserve"> tasks </w:t>
      </w:r>
      <w:r w:rsidR="003018E0" w:rsidRPr="005641A9">
        <w:rPr>
          <w:szCs w:val="24"/>
          <w:lang w:val="en-GB"/>
        </w:rPr>
        <w:t xml:space="preserve">had been </w:t>
      </w:r>
      <w:r w:rsidRPr="005641A9">
        <w:rPr>
          <w:szCs w:val="24"/>
          <w:lang w:val="en-GB"/>
        </w:rPr>
        <w:t>previously validated.</w:t>
      </w:r>
    </w:p>
    <w:p w14:paraId="3798B7D2" w14:textId="0ED03292" w:rsidR="6A6F3AE7" w:rsidRPr="005641A9" w:rsidRDefault="741E2879" w:rsidP="002E1E22">
      <w:pPr>
        <w:spacing w:line="240" w:lineRule="auto"/>
        <w:jc w:val="both"/>
        <w:rPr>
          <w:szCs w:val="24"/>
          <w:highlight w:val="cyan"/>
          <w:lang w:val="en-GB"/>
        </w:rPr>
      </w:pPr>
      <w:r w:rsidRPr="005641A9">
        <w:rPr>
          <w:szCs w:val="24"/>
          <w:lang w:val="en-GB"/>
        </w:rPr>
        <w:t xml:space="preserve">Thus, the first scientific contribution and novelty of the present study </w:t>
      </w:r>
      <w:r w:rsidR="0005129E" w:rsidRPr="005641A9">
        <w:rPr>
          <w:szCs w:val="24"/>
          <w:lang w:val="en-GB"/>
        </w:rPr>
        <w:t>is</w:t>
      </w:r>
      <w:r w:rsidRPr="005641A9">
        <w:rPr>
          <w:szCs w:val="24"/>
          <w:lang w:val="en-GB"/>
        </w:rPr>
        <w:t xml:space="preserve"> to examine the characteristics of reading abilities in students with IS (</w:t>
      </w:r>
      <w:r w:rsidR="001E4502" w:rsidRPr="005641A9">
        <w:rPr>
          <w:szCs w:val="24"/>
          <w:lang w:val="en-GB"/>
        </w:rPr>
        <w:t>Irlen syndrome group</w:t>
      </w:r>
      <w:r w:rsidRPr="005641A9">
        <w:rPr>
          <w:szCs w:val="24"/>
          <w:lang w:val="en-GB"/>
        </w:rPr>
        <w:t xml:space="preserve">, </w:t>
      </w:r>
      <w:r w:rsidR="001E4502" w:rsidRPr="005641A9">
        <w:rPr>
          <w:szCs w:val="24"/>
          <w:lang w:val="en-GB"/>
        </w:rPr>
        <w:t>ISG</w:t>
      </w:r>
      <w:r w:rsidRPr="005641A9">
        <w:rPr>
          <w:szCs w:val="24"/>
          <w:lang w:val="en-GB"/>
        </w:rPr>
        <w:t xml:space="preserve">) and compare </w:t>
      </w:r>
      <w:r w:rsidR="00F203E8" w:rsidRPr="005641A9">
        <w:rPr>
          <w:szCs w:val="24"/>
          <w:lang w:val="en-GB"/>
        </w:rPr>
        <w:t xml:space="preserve">them </w:t>
      </w:r>
      <w:r w:rsidRPr="005641A9">
        <w:rPr>
          <w:szCs w:val="24"/>
          <w:lang w:val="en-GB"/>
        </w:rPr>
        <w:t>with the non-Irlen group (control group, CG)</w:t>
      </w:r>
      <w:r w:rsidRPr="005641A9">
        <w:rPr>
          <w:rFonts w:eastAsia="Times New Roman"/>
          <w:szCs w:val="24"/>
          <w:lang w:val="en-GB"/>
        </w:rPr>
        <w:t xml:space="preserve"> using the PROLEC-R test (Cuetos et al., 2009), and more specifically</w:t>
      </w:r>
      <w:r w:rsidR="00375CFD" w:rsidRPr="005641A9">
        <w:rPr>
          <w:rFonts w:eastAsia="Times New Roman"/>
          <w:szCs w:val="24"/>
          <w:lang w:val="en-GB"/>
        </w:rPr>
        <w:t>,</w:t>
      </w:r>
      <w:r w:rsidRPr="005641A9">
        <w:rPr>
          <w:rFonts w:eastAsia="Times New Roman"/>
          <w:szCs w:val="24"/>
          <w:lang w:val="en-GB"/>
        </w:rPr>
        <w:t xml:space="preserve"> the Letter identification, Lexical, Grammar tasks, and Semantic Processes. </w:t>
      </w:r>
    </w:p>
    <w:p w14:paraId="6B863C30" w14:textId="090A7895" w:rsidR="7EE5F1D8" w:rsidRPr="005641A9" w:rsidRDefault="07AE4154" w:rsidP="002E1E22">
      <w:pPr>
        <w:spacing w:line="240" w:lineRule="auto"/>
        <w:ind w:firstLine="708"/>
        <w:jc w:val="both"/>
        <w:rPr>
          <w:rFonts w:eastAsia="Times New Roman"/>
          <w:szCs w:val="24"/>
          <w:lang w:val="en-GB"/>
        </w:rPr>
      </w:pPr>
      <w:r w:rsidRPr="005641A9">
        <w:rPr>
          <w:rFonts w:eastAsia="Times New Roman"/>
          <w:szCs w:val="24"/>
          <w:lang w:val="en-GB"/>
        </w:rPr>
        <w:t>The</w:t>
      </w:r>
      <w:r w:rsidRPr="005641A9">
        <w:rPr>
          <w:szCs w:val="24"/>
          <w:lang w:val="en-GB"/>
        </w:rPr>
        <w:t xml:space="preserve"> second novelty of this study is that the researchers carried out a differentiated analysis of the semantic processes, especially between oral and visual reading comprehension to determine if both are affected or whether IS affects visual reading comprehension more than oral comprehension. </w:t>
      </w:r>
    </w:p>
    <w:p w14:paraId="26346C03" w14:textId="0A44189B" w:rsidR="00767491" w:rsidRPr="005641A9" w:rsidRDefault="07AE4154" w:rsidP="002E1E22">
      <w:pPr>
        <w:spacing w:line="240" w:lineRule="auto"/>
        <w:ind w:firstLine="708"/>
        <w:jc w:val="both"/>
        <w:rPr>
          <w:rFonts w:eastAsia="Times New Roman"/>
          <w:szCs w:val="24"/>
          <w:lang w:val="en-GB"/>
        </w:rPr>
      </w:pPr>
      <w:r w:rsidRPr="005641A9">
        <w:rPr>
          <w:szCs w:val="24"/>
          <w:lang w:val="en-GB"/>
        </w:rPr>
        <w:lastRenderedPageBreak/>
        <w:t xml:space="preserve">Consequently, the first hypothesis is that no significant differences would be found in letter identification. This process would be very elementary in learning how to read. The authors assumed that 8–9-year-old children will have acquired this skill completely since letter learning is done in an isolated way. Children could have even learned it with didactic material that would guarantee learning at this age. In contrast, letter identification in direct reading could be altered in conjunction with the rest of the text.  </w:t>
      </w:r>
      <w:r w:rsidRPr="005641A9">
        <w:rPr>
          <w:rFonts w:eastAsia="Times New Roman"/>
          <w:szCs w:val="24"/>
          <w:lang w:val="en-GB"/>
        </w:rPr>
        <w:t xml:space="preserve">Additionally, within the Lexical and Grammar Processes, emphasis on the word recognition tasks that might affect reading comprehension </w:t>
      </w:r>
      <w:r w:rsidRPr="005641A9">
        <w:rPr>
          <w:szCs w:val="24"/>
          <w:lang w:val="en-GB"/>
        </w:rPr>
        <w:t>was considered (Cuetos, 2010; Perfetti, 1994)</w:t>
      </w:r>
      <w:r w:rsidRPr="005641A9">
        <w:rPr>
          <w:rFonts w:eastAsia="Times New Roman"/>
          <w:szCs w:val="24"/>
          <w:lang w:val="en-GB"/>
        </w:rPr>
        <w:t>.</w:t>
      </w:r>
    </w:p>
    <w:p w14:paraId="3C6F9894" w14:textId="18E5765A" w:rsidR="00B63B61" w:rsidRPr="005641A9" w:rsidRDefault="4379D923" w:rsidP="002E1E22">
      <w:pPr>
        <w:spacing w:line="240" w:lineRule="auto"/>
        <w:ind w:firstLine="720"/>
        <w:jc w:val="both"/>
        <w:rPr>
          <w:szCs w:val="24"/>
          <w:lang w:val="en-GB"/>
        </w:rPr>
      </w:pPr>
      <w:r w:rsidRPr="005641A9">
        <w:rPr>
          <w:rFonts w:eastAsia="Times New Roman"/>
          <w:color w:val="000000" w:themeColor="text1"/>
          <w:szCs w:val="24"/>
          <w:lang w:val="en-GB"/>
        </w:rPr>
        <w:t xml:space="preserve">The second hypothesis of the study is that there would be significant differences in the lexical processes. The </w:t>
      </w:r>
      <w:r w:rsidR="001E4502" w:rsidRPr="005641A9">
        <w:rPr>
          <w:rFonts w:eastAsia="Times New Roman"/>
          <w:color w:val="000000" w:themeColor="text1"/>
          <w:szCs w:val="24"/>
          <w:lang w:val="en-GB"/>
        </w:rPr>
        <w:t>ISG</w:t>
      </w:r>
      <w:r w:rsidRPr="005641A9">
        <w:rPr>
          <w:rFonts w:eastAsia="Times New Roman"/>
          <w:color w:val="000000" w:themeColor="text1"/>
          <w:szCs w:val="24"/>
          <w:lang w:val="en-GB"/>
        </w:rPr>
        <w:t>´s performance would be worse compared to that of the CG</w:t>
      </w:r>
      <w:r w:rsidRPr="005641A9">
        <w:rPr>
          <w:rFonts w:eastAsia="Times New Roman"/>
          <w:szCs w:val="24"/>
          <w:lang w:val="en-GB"/>
        </w:rPr>
        <w:t>.</w:t>
      </w:r>
      <w:r w:rsidR="00FE30D1" w:rsidRPr="005641A9">
        <w:rPr>
          <w:rFonts w:eastAsia="Times New Roman"/>
          <w:szCs w:val="24"/>
          <w:lang w:val="en-GB"/>
        </w:rPr>
        <w:t xml:space="preserve"> And</w:t>
      </w:r>
      <w:r w:rsidR="00A4218B" w:rsidRPr="005641A9">
        <w:rPr>
          <w:rFonts w:eastAsia="Times New Roman"/>
          <w:szCs w:val="24"/>
          <w:lang w:val="en-GB"/>
        </w:rPr>
        <w:t>,</w:t>
      </w:r>
      <w:r w:rsidR="00FE30D1" w:rsidRPr="005641A9">
        <w:rPr>
          <w:rFonts w:eastAsia="Times New Roman"/>
          <w:szCs w:val="24"/>
          <w:lang w:val="en-GB"/>
        </w:rPr>
        <w:t xml:space="preserve"> </w:t>
      </w:r>
      <w:r w:rsidR="001C1939" w:rsidRPr="005641A9">
        <w:rPr>
          <w:szCs w:val="24"/>
          <w:lang w:val="en-GB"/>
        </w:rPr>
        <w:t xml:space="preserve">as a third hypothesis, it </w:t>
      </w:r>
      <w:r w:rsidR="00D040B7" w:rsidRPr="005641A9">
        <w:rPr>
          <w:szCs w:val="24"/>
          <w:lang w:val="en-GB"/>
        </w:rPr>
        <w:t>is</w:t>
      </w:r>
      <w:r w:rsidR="001C1939" w:rsidRPr="005641A9">
        <w:rPr>
          <w:szCs w:val="24"/>
          <w:lang w:val="en-GB"/>
        </w:rPr>
        <w:t xml:space="preserve"> expected that the </w:t>
      </w:r>
      <w:r w:rsidR="001E4502" w:rsidRPr="005641A9">
        <w:rPr>
          <w:szCs w:val="24"/>
          <w:lang w:val="en-GB"/>
        </w:rPr>
        <w:t>ISG</w:t>
      </w:r>
      <w:r w:rsidR="001C1939" w:rsidRPr="005641A9">
        <w:rPr>
          <w:szCs w:val="24"/>
          <w:lang w:val="en-GB"/>
        </w:rPr>
        <w:t xml:space="preserve"> </w:t>
      </w:r>
      <w:r w:rsidR="00D040B7" w:rsidRPr="005641A9">
        <w:rPr>
          <w:szCs w:val="24"/>
          <w:lang w:val="en-GB"/>
        </w:rPr>
        <w:t>would have</w:t>
      </w:r>
      <w:r w:rsidR="001C1939" w:rsidRPr="005641A9">
        <w:rPr>
          <w:szCs w:val="24"/>
          <w:lang w:val="en-GB"/>
        </w:rPr>
        <w:t xml:space="preserve"> worse performance than the CG in grammar ability because perceptual functions could alter their efficiency and ability to discriminate words, pseudowords, and punctuation marks. </w:t>
      </w:r>
      <w:r w:rsidR="00D040B7" w:rsidRPr="005641A9">
        <w:rPr>
          <w:szCs w:val="24"/>
          <w:lang w:val="en-GB"/>
        </w:rPr>
        <w:t>Regarding</w:t>
      </w:r>
      <w:r w:rsidR="001C1939" w:rsidRPr="005641A9">
        <w:rPr>
          <w:szCs w:val="24"/>
          <w:lang w:val="en-GB"/>
        </w:rPr>
        <w:t xml:space="preserve"> semantic processes, the fourth hypothesis states that the </w:t>
      </w:r>
      <w:r w:rsidR="001E4502" w:rsidRPr="005641A9">
        <w:rPr>
          <w:szCs w:val="24"/>
          <w:lang w:val="en-GB"/>
        </w:rPr>
        <w:t>ISG</w:t>
      </w:r>
      <w:r w:rsidR="001C1939" w:rsidRPr="005641A9">
        <w:rPr>
          <w:szCs w:val="24"/>
          <w:lang w:val="en-GB"/>
        </w:rPr>
        <w:t xml:space="preserve"> would perform worse than the CG. This difference would be more notable in visual comprehension tasks. As for oral comprehension, we would not expect to find significant differences </w:t>
      </w:r>
      <w:r w:rsidR="00D040B7" w:rsidRPr="005641A9">
        <w:rPr>
          <w:szCs w:val="24"/>
          <w:lang w:val="en-GB"/>
        </w:rPr>
        <w:t>as</w:t>
      </w:r>
      <w:r w:rsidR="001C1939" w:rsidRPr="005641A9">
        <w:rPr>
          <w:szCs w:val="24"/>
          <w:lang w:val="en-GB"/>
        </w:rPr>
        <w:t xml:space="preserve"> the IS affects visual processes</w:t>
      </w:r>
      <w:r w:rsidR="00A4218B" w:rsidRPr="005641A9">
        <w:rPr>
          <w:szCs w:val="24"/>
          <w:lang w:val="en-GB"/>
        </w:rPr>
        <w:t xml:space="preserve"> only</w:t>
      </w:r>
      <w:r w:rsidR="001C1939" w:rsidRPr="005641A9">
        <w:rPr>
          <w:szCs w:val="24"/>
          <w:lang w:val="en-GB"/>
        </w:rPr>
        <w:t>.</w:t>
      </w:r>
    </w:p>
    <w:p w14:paraId="5A9A6EDA" w14:textId="77777777" w:rsidR="00C55161" w:rsidRPr="005641A9" w:rsidRDefault="00C55161" w:rsidP="002E1E22">
      <w:pPr>
        <w:spacing w:line="240" w:lineRule="auto"/>
        <w:ind w:firstLine="720"/>
        <w:jc w:val="both"/>
        <w:rPr>
          <w:szCs w:val="24"/>
          <w:lang w:val="en-GB"/>
        </w:rPr>
      </w:pPr>
    </w:p>
    <w:p w14:paraId="3387BC7F" w14:textId="77777777" w:rsidR="004B3CCD" w:rsidRPr="005641A9" w:rsidRDefault="001C1939" w:rsidP="002E1E22">
      <w:pPr>
        <w:spacing w:line="240" w:lineRule="auto"/>
        <w:ind w:firstLine="0"/>
        <w:jc w:val="both"/>
        <w:rPr>
          <w:b/>
          <w:bCs/>
          <w:szCs w:val="24"/>
          <w:lang w:val="en-GB"/>
        </w:rPr>
      </w:pPr>
      <w:r w:rsidRPr="005641A9">
        <w:rPr>
          <w:b/>
          <w:bCs/>
          <w:szCs w:val="24"/>
          <w:lang w:val="en-GB"/>
        </w:rPr>
        <w:t>Method</w:t>
      </w:r>
      <w:bookmarkStart w:id="2" w:name="_Toc4620053"/>
      <w:bookmarkStart w:id="3" w:name="_Toc40025285"/>
      <w:bookmarkStart w:id="4" w:name="_Toc42904635"/>
      <w:bookmarkStart w:id="5" w:name="_Toc45662995"/>
    </w:p>
    <w:p w14:paraId="79571A57" w14:textId="77777777" w:rsidR="004B3CCD" w:rsidRPr="005641A9" w:rsidRDefault="001C1939" w:rsidP="002E1E22">
      <w:pPr>
        <w:spacing w:line="240" w:lineRule="auto"/>
        <w:ind w:firstLine="0"/>
        <w:jc w:val="both"/>
        <w:rPr>
          <w:b/>
          <w:bCs/>
          <w:i/>
          <w:iCs/>
          <w:szCs w:val="24"/>
          <w:lang w:val="en-GB"/>
        </w:rPr>
      </w:pPr>
      <w:r w:rsidRPr="005641A9">
        <w:rPr>
          <w:b/>
          <w:bCs/>
          <w:i/>
          <w:iCs/>
          <w:szCs w:val="24"/>
          <w:lang w:val="en-GB"/>
        </w:rPr>
        <w:t>Participants</w:t>
      </w:r>
      <w:bookmarkEnd w:id="2"/>
      <w:bookmarkEnd w:id="3"/>
      <w:bookmarkEnd w:id="4"/>
      <w:bookmarkEnd w:id="5"/>
    </w:p>
    <w:p w14:paraId="1D0BB920" w14:textId="1DEF59BF" w:rsidR="4C9CB5AB" w:rsidRPr="005641A9" w:rsidRDefault="07AE4154" w:rsidP="002E1E22">
      <w:pPr>
        <w:spacing w:line="240" w:lineRule="auto"/>
        <w:ind w:firstLine="720"/>
        <w:jc w:val="both"/>
        <w:rPr>
          <w:szCs w:val="24"/>
          <w:lang w:val="en-GB"/>
        </w:rPr>
      </w:pPr>
      <w:r w:rsidRPr="005641A9">
        <w:rPr>
          <w:szCs w:val="24"/>
          <w:lang w:val="en-GB"/>
        </w:rPr>
        <w:t>From the 292 children, 4</w:t>
      </w:r>
      <w:r w:rsidRPr="005641A9">
        <w:rPr>
          <w:szCs w:val="24"/>
          <w:vertAlign w:val="superscript"/>
          <w:lang w:val="en-GB"/>
        </w:rPr>
        <w:t>th</w:t>
      </w:r>
      <w:r w:rsidRPr="005641A9">
        <w:rPr>
          <w:szCs w:val="24"/>
          <w:lang w:val="en-GB"/>
        </w:rPr>
        <w:t xml:space="preserve"> and 5</w:t>
      </w:r>
      <w:r w:rsidRPr="005641A9">
        <w:rPr>
          <w:szCs w:val="24"/>
          <w:vertAlign w:val="superscript"/>
          <w:lang w:val="en-GB"/>
        </w:rPr>
        <w:t>th</w:t>
      </w:r>
      <w:r w:rsidRPr="005641A9">
        <w:rPr>
          <w:szCs w:val="24"/>
          <w:lang w:val="en-GB"/>
        </w:rPr>
        <w:t xml:space="preserve"> graders assessed with the IRPS, a convenient sample of 110 participants (50% boys and 50% girls) took part in the study; 55 with IS formed the ISG (</w:t>
      </w:r>
      <w:r w:rsidRPr="005641A9">
        <w:rPr>
          <w:i/>
          <w:iCs/>
          <w:szCs w:val="24"/>
          <w:lang w:val="en-GB"/>
        </w:rPr>
        <w:t xml:space="preserve">M </w:t>
      </w:r>
      <w:r w:rsidRPr="005641A9">
        <w:rPr>
          <w:szCs w:val="24"/>
          <w:lang w:val="en-GB"/>
        </w:rPr>
        <w:t>= 8.60 ± 0.63 years old), and 55 formed the control group (</w:t>
      </w:r>
      <w:r w:rsidRPr="005641A9">
        <w:rPr>
          <w:i/>
          <w:iCs/>
          <w:szCs w:val="24"/>
          <w:lang w:val="en-GB"/>
        </w:rPr>
        <w:t xml:space="preserve">M </w:t>
      </w:r>
      <w:r w:rsidRPr="005641A9">
        <w:rPr>
          <w:szCs w:val="24"/>
          <w:lang w:val="en-GB"/>
        </w:rPr>
        <w:t>= 8.62 ± 0.56 years old).</w:t>
      </w:r>
      <w:r w:rsidRPr="005641A9">
        <w:rPr>
          <w:color w:val="4472C4" w:themeColor="accent1"/>
          <w:szCs w:val="24"/>
          <w:lang w:val="en-GB"/>
        </w:rPr>
        <w:t xml:space="preserve"> </w:t>
      </w:r>
      <w:r w:rsidRPr="005641A9">
        <w:rPr>
          <w:szCs w:val="24"/>
          <w:lang w:val="en-GB"/>
        </w:rPr>
        <w:t xml:space="preserve">The objective of having these two groups was to </w:t>
      </w:r>
      <w:bookmarkStart w:id="6" w:name="_Int_SFbLTsi6"/>
      <w:r w:rsidRPr="005641A9">
        <w:rPr>
          <w:szCs w:val="24"/>
          <w:lang w:val="en-GB"/>
        </w:rPr>
        <w:t>count with</w:t>
      </w:r>
      <w:bookmarkEnd w:id="6"/>
      <w:r w:rsidRPr="005641A9">
        <w:rPr>
          <w:szCs w:val="24"/>
          <w:lang w:val="en-GB"/>
        </w:rPr>
        <w:t xml:space="preserve"> participants of similar characteristics such as age, school grade, and socioeconomical background. For the IS identification and differentiation between groups, discrimination was made based on the general punctuation of the IRPS section 1 and the clinical criteria of a professional certified Irlen Screener based on IRPS section 3. Two references for the clinical criteria were considered. First, the cases that scored higher than the reference point of the Receiver Operating Characteristic curve (ROC curve) coincided with the evaluation of positive Irlen syndrome (ISG). Second, the participants who scored lower than the reference point ROC curve coincided with an evaluation of non-Irlen syndrome (Control Group). We did not consider cases that did not meet both criteria for this study for the ROC curve with 0.571 degree of sensitivity and 0.379 specificity. For the positive identification of IS, the minimum score in section 1 should be 63.5</w:t>
      </w:r>
      <w:r w:rsidR="005C6A8C">
        <w:rPr>
          <w:szCs w:val="24"/>
          <w:lang w:val="en-GB"/>
        </w:rPr>
        <w:t>.</w:t>
      </w:r>
    </w:p>
    <w:p w14:paraId="0C1FA2E0" w14:textId="454D2A03" w:rsidR="00B63B61" w:rsidRPr="005641A9" w:rsidRDefault="001C1939" w:rsidP="002E1E22">
      <w:pPr>
        <w:spacing w:line="240" w:lineRule="auto"/>
        <w:ind w:firstLine="720"/>
        <w:jc w:val="both"/>
        <w:rPr>
          <w:szCs w:val="24"/>
          <w:lang w:val="en-GB"/>
        </w:rPr>
      </w:pPr>
      <w:r w:rsidRPr="005641A9">
        <w:rPr>
          <w:szCs w:val="24"/>
          <w:lang w:val="en-GB"/>
        </w:rPr>
        <w:t xml:space="preserve">All the participants were from different schools with a similar medium or medium-low socioeconomic level (INEC, 2011). As exclusion criteria, students who presented any psychological diagnosis related to an intellectual disability </w:t>
      </w:r>
      <w:r w:rsidR="00A4218B" w:rsidRPr="005641A9">
        <w:rPr>
          <w:szCs w:val="24"/>
          <w:lang w:val="en-GB"/>
        </w:rPr>
        <w:t>or any</w:t>
      </w:r>
      <w:r w:rsidRPr="005641A9">
        <w:rPr>
          <w:szCs w:val="24"/>
          <w:lang w:val="en-GB"/>
        </w:rPr>
        <w:t xml:space="preserve"> unsolved ophthalmological problem were not considered. </w:t>
      </w:r>
      <w:bookmarkStart w:id="7" w:name="_Toc4620055"/>
    </w:p>
    <w:p w14:paraId="3F5BDAEF" w14:textId="77777777" w:rsidR="00C55A98" w:rsidRPr="005641A9" w:rsidRDefault="00C55A98" w:rsidP="002E1E22">
      <w:pPr>
        <w:spacing w:line="240" w:lineRule="auto"/>
        <w:ind w:firstLine="0"/>
        <w:jc w:val="both"/>
        <w:rPr>
          <w:b/>
          <w:bCs/>
          <w:i/>
          <w:iCs/>
          <w:szCs w:val="24"/>
          <w:lang w:val="en-GB"/>
        </w:rPr>
      </w:pPr>
    </w:p>
    <w:p w14:paraId="4BAED8CF" w14:textId="4AAF3A49" w:rsidR="004B3CCD" w:rsidRPr="005641A9" w:rsidRDefault="00286384" w:rsidP="002E1E22">
      <w:pPr>
        <w:spacing w:line="240" w:lineRule="auto"/>
        <w:ind w:firstLine="0"/>
        <w:jc w:val="both"/>
        <w:rPr>
          <w:b/>
          <w:bCs/>
          <w:i/>
          <w:iCs/>
          <w:szCs w:val="24"/>
          <w:lang w:val="en-GB"/>
        </w:rPr>
      </w:pPr>
      <w:r w:rsidRPr="005641A9">
        <w:rPr>
          <w:b/>
          <w:bCs/>
          <w:i/>
          <w:iCs/>
          <w:szCs w:val="24"/>
          <w:lang w:val="en-GB"/>
        </w:rPr>
        <w:t>Instruments</w:t>
      </w:r>
    </w:p>
    <w:p w14:paraId="0860C052" w14:textId="77777777" w:rsidR="00A57CC5" w:rsidRPr="005641A9" w:rsidRDefault="07AE4154" w:rsidP="002E1E22">
      <w:pPr>
        <w:spacing w:line="240" w:lineRule="auto"/>
        <w:jc w:val="both"/>
        <w:rPr>
          <w:szCs w:val="24"/>
          <w:lang w:val="en-GB"/>
        </w:rPr>
      </w:pPr>
      <w:r w:rsidRPr="005641A9">
        <w:rPr>
          <w:i/>
          <w:iCs/>
          <w:szCs w:val="24"/>
          <w:lang w:val="en-GB"/>
        </w:rPr>
        <w:t xml:space="preserve">The Irlen Reading Perceptual Scale </w:t>
      </w:r>
      <w:r w:rsidRPr="005641A9">
        <w:rPr>
          <w:szCs w:val="24"/>
          <w:lang w:val="en-GB"/>
        </w:rPr>
        <w:t>(IRPS; Bernal et al., 2021), an adapted version from the original IRPS (Irlen, 1983) is an instrument for an individual application that measures distortions and visual perceptual discomfort. It serves as a screening test for detecting Irlen syndrome. It consists of three evaluation phases and four sections</w:t>
      </w:r>
      <w:r w:rsidR="00A57CC5" w:rsidRPr="005641A9">
        <w:rPr>
          <w:szCs w:val="24"/>
          <w:lang w:val="en-GB"/>
        </w:rPr>
        <w:t>.</w:t>
      </w:r>
      <w:r w:rsidRPr="005641A9">
        <w:rPr>
          <w:szCs w:val="24"/>
          <w:lang w:val="en-GB"/>
        </w:rPr>
        <w:t xml:space="preserve"> </w:t>
      </w:r>
    </w:p>
    <w:p w14:paraId="69925555" w14:textId="77777777" w:rsidR="00A57CC5" w:rsidRPr="005641A9" w:rsidRDefault="07AE4154" w:rsidP="00BF26B2">
      <w:pPr>
        <w:pStyle w:val="Prrafodelista"/>
        <w:numPr>
          <w:ilvl w:val="0"/>
          <w:numId w:val="9"/>
        </w:numPr>
        <w:jc w:val="both"/>
        <w:rPr>
          <w:rFonts w:ascii="Times New Roman" w:hAnsi="Times New Roman" w:cs="Times New Roman"/>
          <w:lang w:val="en-GB"/>
        </w:rPr>
      </w:pPr>
      <w:r w:rsidRPr="005641A9">
        <w:rPr>
          <w:rFonts w:ascii="Times New Roman" w:hAnsi="Times New Roman" w:cs="Times New Roman"/>
          <w:lang w:val="en-GB"/>
        </w:rPr>
        <w:t xml:space="preserve">In the first phase, the first section consists of a 32-item questionnaire in which the participant indicates through a Likert scale (from 1 to 5) the level of frequency of the </w:t>
      </w:r>
      <w:r w:rsidRPr="005641A9">
        <w:rPr>
          <w:rFonts w:ascii="Times New Roman" w:hAnsi="Times New Roman" w:cs="Times New Roman"/>
          <w:lang w:val="en-GB"/>
        </w:rPr>
        <w:lastRenderedPageBreak/>
        <w:t xml:space="preserve">events concerning visual and physical discomfort. This first section consists of two dimensions (visual distortions and physical unease). </w:t>
      </w:r>
    </w:p>
    <w:p w14:paraId="18DC0552" w14:textId="737F40C5" w:rsidR="00A57CC5" w:rsidRPr="005641A9" w:rsidRDefault="07AE4154" w:rsidP="00BF26B2">
      <w:pPr>
        <w:pStyle w:val="Prrafodelista"/>
        <w:numPr>
          <w:ilvl w:val="0"/>
          <w:numId w:val="9"/>
        </w:numPr>
        <w:jc w:val="both"/>
        <w:rPr>
          <w:rFonts w:ascii="Times New Roman" w:hAnsi="Times New Roman" w:cs="Times New Roman"/>
          <w:lang w:val="en-GB"/>
        </w:rPr>
      </w:pPr>
      <w:r w:rsidRPr="005641A9">
        <w:rPr>
          <w:rFonts w:ascii="Times New Roman" w:hAnsi="Times New Roman" w:cs="Times New Roman"/>
          <w:lang w:val="en-GB"/>
        </w:rPr>
        <w:t xml:space="preserve">In phase two, the second section has five experimental and observational tasks to </w:t>
      </w:r>
      <w:r w:rsidR="005641A9" w:rsidRPr="005641A9">
        <w:rPr>
          <w:rFonts w:ascii="Times New Roman" w:hAnsi="Times New Roman" w:cs="Times New Roman"/>
          <w:lang w:val="en-GB"/>
        </w:rPr>
        <w:t>analyse</w:t>
      </w:r>
      <w:r w:rsidRPr="005641A9">
        <w:rPr>
          <w:rFonts w:ascii="Times New Roman" w:hAnsi="Times New Roman" w:cs="Times New Roman"/>
          <w:lang w:val="en-GB"/>
        </w:rPr>
        <w:t xml:space="preserve"> the perceptual ability of the participant. In this section, the researchers present four pictures (Cube A and B, and Pumpkin A and B), one by one. The participant performs the tests and then comments on the sensations when looking at the pictures. The child counts the number of squares in a vertical row (for Cube A and Cube B) and the number of </w:t>
      </w:r>
      <w:r w:rsidR="00C55A98" w:rsidRPr="005641A9">
        <w:rPr>
          <w:rFonts w:ascii="Times New Roman" w:hAnsi="Times New Roman" w:cs="Times New Roman"/>
          <w:lang w:val="en-GB"/>
        </w:rPr>
        <w:t>“</w:t>
      </w:r>
      <w:r w:rsidRPr="005641A9">
        <w:rPr>
          <w:rFonts w:ascii="Times New Roman" w:hAnsi="Times New Roman" w:cs="Times New Roman"/>
          <w:lang w:val="en-GB"/>
        </w:rPr>
        <w:t>x</w:t>
      </w:r>
      <w:r w:rsidR="00C55A98" w:rsidRPr="005641A9">
        <w:rPr>
          <w:rFonts w:ascii="Times New Roman" w:hAnsi="Times New Roman" w:cs="Times New Roman"/>
          <w:lang w:val="en-GB"/>
        </w:rPr>
        <w:t>”</w:t>
      </w:r>
      <w:r w:rsidRPr="005641A9">
        <w:rPr>
          <w:rFonts w:ascii="Times New Roman" w:hAnsi="Times New Roman" w:cs="Times New Roman"/>
          <w:lang w:val="en-GB"/>
        </w:rPr>
        <w:t xml:space="preserve"> or </w:t>
      </w:r>
      <w:r w:rsidR="00C55A98" w:rsidRPr="005641A9">
        <w:rPr>
          <w:rFonts w:ascii="Times New Roman" w:hAnsi="Times New Roman" w:cs="Times New Roman"/>
          <w:lang w:val="en-GB"/>
        </w:rPr>
        <w:t>“</w:t>
      </w:r>
      <w:r w:rsidRPr="005641A9">
        <w:rPr>
          <w:rFonts w:ascii="Times New Roman" w:hAnsi="Times New Roman" w:cs="Times New Roman"/>
          <w:lang w:val="en-GB"/>
        </w:rPr>
        <w:t>%</w:t>
      </w:r>
      <w:r w:rsidR="00C55A98" w:rsidRPr="005641A9">
        <w:rPr>
          <w:rFonts w:ascii="Times New Roman" w:hAnsi="Times New Roman" w:cs="Times New Roman"/>
          <w:lang w:val="en-GB"/>
        </w:rPr>
        <w:t>”</w:t>
      </w:r>
      <w:r w:rsidRPr="005641A9">
        <w:rPr>
          <w:rFonts w:ascii="Times New Roman" w:hAnsi="Times New Roman" w:cs="Times New Roman"/>
          <w:lang w:val="en-GB"/>
        </w:rPr>
        <w:t xml:space="preserve"> between two squares (in the pumpkin). The Irlen screener monitors the task and asks the children about the distortions and discomfort perceived while performing the task. High scores mark a worse performance and vice versa. </w:t>
      </w:r>
    </w:p>
    <w:p w14:paraId="46D2949A" w14:textId="0FBC8160" w:rsidR="00884F76" w:rsidRPr="005641A9" w:rsidRDefault="00C55A98" w:rsidP="00BF26B2">
      <w:pPr>
        <w:pStyle w:val="Prrafodelista"/>
        <w:numPr>
          <w:ilvl w:val="0"/>
          <w:numId w:val="9"/>
        </w:numPr>
        <w:jc w:val="both"/>
        <w:rPr>
          <w:rFonts w:ascii="Times New Roman" w:hAnsi="Times New Roman" w:cs="Times New Roman"/>
          <w:lang w:val="en-GB"/>
        </w:rPr>
      </w:pPr>
      <w:r w:rsidRPr="005641A9">
        <w:rPr>
          <w:rFonts w:ascii="Times New Roman" w:hAnsi="Times New Roman" w:cs="Times New Roman"/>
          <w:lang w:val="en-GB"/>
        </w:rPr>
        <w:t>P</w:t>
      </w:r>
      <w:r w:rsidR="07AE4154" w:rsidRPr="005641A9">
        <w:rPr>
          <w:rFonts w:ascii="Times New Roman" w:hAnsi="Times New Roman" w:cs="Times New Roman"/>
          <w:lang w:val="en-GB"/>
        </w:rPr>
        <w:t xml:space="preserve">hase </w:t>
      </w:r>
      <w:r w:rsidRPr="005641A9">
        <w:rPr>
          <w:rFonts w:ascii="Times New Roman" w:hAnsi="Times New Roman" w:cs="Times New Roman"/>
          <w:lang w:val="en-GB"/>
        </w:rPr>
        <w:t xml:space="preserve">three </w:t>
      </w:r>
      <w:r w:rsidR="07AE4154" w:rsidRPr="005641A9">
        <w:rPr>
          <w:rFonts w:ascii="Times New Roman" w:hAnsi="Times New Roman" w:cs="Times New Roman"/>
          <w:lang w:val="en-GB"/>
        </w:rPr>
        <w:t>corresponds to the Irlen Screener</w:t>
      </w:r>
      <w:r w:rsidRPr="005641A9">
        <w:rPr>
          <w:rFonts w:ascii="Times New Roman" w:hAnsi="Times New Roman" w:cs="Times New Roman"/>
          <w:lang w:val="en-GB"/>
        </w:rPr>
        <w:t>’</w:t>
      </w:r>
      <w:r w:rsidR="07AE4154" w:rsidRPr="005641A9">
        <w:rPr>
          <w:rFonts w:ascii="Times New Roman" w:hAnsi="Times New Roman" w:cs="Times New Roman"/>
          <w:lang w:val="en-GB"/>
        </w:rPr>
        <w:t xml:space="preserve">s assessment and </w:t>
      </w:r>
      <w:r w:rsidR="005641A9" w:rsidRPr="005641A9">
        <w:rPr>
          <w:rFonts w:ascii="Times New Roman" w:hAnsi="Times New Roman" w:cs="Times New Roman"/>
          <w:lang w:val="en-GB"/>
        </w:rPr>
        <w:t>analyses</w:t>
      </w:r>
      <w:r w:rsidR="07AE4154" w:rsidRPr="005641A9">
        <w:rPr>
          <w:rFonts w:ascii="Times New Roman" w:hAnsi="Times New Roman" w:cs="Times New Roman"/>
          <w:lang w:val="en-GB"/>
        </w:rPr>
        <w:t xml:space="preserve"> the IRPS Sections 1 and 2 results. S/he administers two different reading tests to observe the children</w:t>
      </w:r>
      <w:r w:rsidRPr="005641A9">
        <w:rPr>
          <w:rFonts w:ascii="Times New Roman" w:hAnsi="Times New Roman" w:cs="Times New Roman"/>
          <w:lang w:val="en-GB"/>
        </w:rPr>
        <w:t>’</w:t>
      </w:r>
      <w:r w:rsidR="07AE4154" w:rsidRPr="005641A9">
        <w:rPr>
          <w:rFonts w:ascii="Times New Roman" w:hAnsi="Times New Roman" w:cs="Times New Roman"/>
          <w:lang w:val="en-GB"/>
        </w:rPr>
        <w:t xml:space="preserve">s </w:t>
      </w:r>
      <w:r w:rsidR="005641A9" w:rsidRPr="005641A9">
        <w:rPr>
          <w:rFonts w:ascii="Times New Roman" w:hAnsi="Times New Roman" w:cs="Times New Roman"/>
          <w:lang w:val="en-GB"/>
        </w:rPr>
        <w:t>behaviour</w:t>
      </w:r>
      <w:r w:rsidR="07AE4154" w:rsidRPr="005641A9">
        <w:rPr>
          <w:rFonts w:ascii="Times New Roman" w:hAnsi="Times New Roman" w:cs="Times New Roman"/>
          <w:lang w:val="en-GB"/>
        </w:rPr>
        <w:t xml:space="preserve"> as they perform the reading tests. Children with Irlen syndrome usually pause, skip lines or entire paragraphs, and report uneasiness, unwillingness, and lack of attention, among other conducts when reading. Furthermore, the Irlen Screener also observed signs of fatigue, rubbing of the eyes, frowning, and overall discomfort while reading (Al-Zoubi, 2021; Guimarães, et al., 2023; Hollis, &amp; Allen, 2006; Kriss, &amp; Evans, 2005). Based on the observations of the children</w:t>
      </w:r>
      <w:r w:rsidRPr="005641A9">
        <w:rPr>
          <w:rFonts w:ascii="Times New Roman" w:hAnsi="Times New Roman" w:cs="Times New Roman"/>
          <w:lang w:val="en-GB"/>
        </w:rPr>
        <w:t>’</w:t>
      </w:r>
      <w:r w:rsidR="07AE4154" w:rsidRPr="005641A9">
        <w:rPr>
          <w:rFonts w:ascii="Times New Roman" w:hAnsi="Times New Roman" w:cs="Times New Roman"/>
          <w:lang w:val="en-GB"/>
        </w:rPr>
        <w:t xml:space="preserve">s </w:t>
      </w:r>
      <w:r w:rsidR="005641A9" w:rsidRPr="005641A9">
        <w:rPr>
          <w:rFonts w:ascii="Times New Roman" w:hAnsi="Times New Roman" w:cs="Times New Roman"/>
          <w:lang w:val="en-GB"/>
        </w:rPr>
        <w:t>behaviours</w:t>
      </w:r>
      <w:r w:rsidR="07AE4154" w:rsidRPr="005641A9">
        <w:rPr>
          <w:rFonts w:ascii="Times New Roman" w:hAnsi="Times New Roman" w:cs="Times New Roman"/>
          <w:lang w:val="en-GB"/>
        </w:rPr>
        <w:t xml:space="preserve"> during the reading tasks, the Irlen Screener determined whether they presented Irlen Syndrome symptomatology or not and recommended </w:t>
      </w:r>
      <w:r w:rsidR="005641A9" w:rsidRPr="005641A9">
        <w:rPr>
          <w:rFonts w:ascii="Times New Roman" w:hAnsi="Times New Roman" w:cs="Times New Roman"/>
          <w:lang w:val="en-GB"/>
        </w:rPr>
        <w:t>colour</w:t>
      </w:r>
      <w:r w:rsidR="07AE4154" w:rsidRPr="005641A9">
        <w:rPr>
          <w:rFonts w:ascii="Times New Roman" w:hAnsi="Times New Roman" w:cs="Times New Roman"/>
          <w:lang w:val="en-GB"/>
        </w:rPr>
        <w:t xml:space="preserve"> acetates.</w:t>
      </w:r>
    </w:p>
    <w:p w14:paraId="5AD5F998" w14:textId="77777777" w:rsidR="00A57CC5" w:rsidRPr="005641A9" w:rsidRDefault="00A57CC5" w:rsidP="002E1E22">
      <w:pPr>
        <w:spacing w:line="240" w:lineRule="auto"/>
        <w:jc w:val="both"/>
        <w:rPr>
          <w:szCs w:val="24"/>
          <w:lang w:val="en-GB"/>
        </w:rPr>
      </w:pPr>
    </w:p>
    <w:p w14:paraId="3818C9A7" w14:textId="1890CEDF" w:rsidR="00A57CC5" w:rsidRPr="005641A9" w:rsidRDefault="4379D923" w:rsidP="002E1E22">
      <w:pPr>
        <w:spacing w:line="240" w:lineRule="auto"/>
        <w:ind w:firstLine="720"/>
        <w:jc w:val="both"/>
        <w:rPr>
          <w:szCs w:val="24"/>
          <w:lang w:val="en-GB"/>
        </w:rPr>
      </w:pPr>
      <w:bookmarkStart w:id="8" w:name="_Toc4620057"/>
      <w:bookmarkEnd w:id="7"/>
      <w:r w:rsidRPr="005641A9">
        <w:rPr>
          <w:i/>
          <w:iCs/>
          <w:szCs w:val="24"/>
          <w:lang w:val="en-GB"/>
        </w:rPr>
        <w:t>The PROLEC-R Test</w:t>
      </w:r>
      <w:r w:rsidRPr="005641A9">
        <w:rPr>
          <w:szCs w:val="24"/>
          <w:lang w:val="en-GB"/>
        </w:rPr>
        <w:t xml:space="preserve"> (Cuetos et al., 2009) evaluates reading skills in Primary </w:t>
      </w:r>
      <w:r w:rsidR="00C55A98" w:rsidRPr="005641A9">
        <w:rPr>
          <w:szCs w:val="24"/>
          <w:lang w:val="en-GB"/>
        </w:rPr>
        <w:t>education</w:t>
      </w:r>
      <w:r w:rsidRPr="005641A9">
        <w:rPr>
          <w:szCs w:val="24"/>
          <w:lang w:val="en-GB"/>
        </w:rPr>
        <w:t>, and it consists of L</w:t>
      </w:r>
      <w:r w:rsidRPr="005641A9">
        <w:rPr>
          <w:rFonts w:eastAsia="Times New Roman"/>
          <w:szCs w:val="24"/>
          <w:lang w:val="en-GB"/>
        </w:rPr>
        <w:t>etter identification, Lexical, Grammar, and Semantic processes</w:t>
      </w:r>
      <w:r w:rsidRPr="005641A9">
        <w:rPr>
          <w:szCs w:val="24"/>
          <w:lang w:val="en-GB"/>
        </w:rPr>
        <w:t xml:space="preserve"> distributed in nine tasks and indices. For this study, the scores obtained from the principal indices of each task were collected. </w:t>
      </w:r>
    </w:p>
    <w:p w14:paraId="26BA5834" w14:textId="77777777" w:rsidR="00A57CC5" w:rsidRPr="005641A9" w:rsidRDefault="4379D923" w:rsidP="00A57CC5">
      <w:pPr>
        <w:pStyle w:val="Prrafodelista"/>
        <w:numPr>
          <w:ilvl w:val="0"/>
          <w:numId w:val="8"/>
        </w:numPr>
        <w:ind w:left="567"/>
        <w:jc w:val="both"/>
        <w:rPr>
          <w:rFonts w:ascii="Times New Roman" w:hAnsi="Times New Roman" w:cs="Times New Roman"/>
          <w:lang w:val="en-GB"/>
        </w:rPr>
      </w:pPr>
      <w:r w:rsidRPr="005641A9">
        <w:rPr>
          <w:rFonts w:ascii="Times New Roman" w:hAnsi="Times New Roman" w:cs="Times New Roman"/>
          <w:lang w:val="en-GB"/>
        </w:rPr>
        <w:t xml:space="preserve">Letter Identification: </w:t>
      </w:r>
    </w:p>
    <w:p w14:paraId="4C1960F5" w14:textId="77777777" w:rsidR="00A57CC5" w:rsidRPr="005641A9" w:rsidRDefault="4379D923" w:rsidP="00BF26B2">
      <w:pPr>
        <w:pStyle w:val="Prrafodelista"/>
        <w:numPr>
          <w:ilvl w:val="0"/>
          <w:numId w:val="11"/>
        </w:numPr>
        <w:jc w:val="both"/>
        <w:rPr>
          <w:rFonts w:ascii="Times New Roman" w:hAnsi="Times New Roman" w:cs="Times New Roman"/>
          <w:lang w:val="en-GB"/>
        </w:rPr>
      </w:pPr>
      <w:r w:rsidRPr="005641A9">
        <w:rPr>
          <w:rFonts w:ascii="Times New Roman" w:hAnsi="Times New Roman" w:cs="Times New Roman"/>
          <w:lang w:val="en-GB"/>
        </w:rPr>
        <w:t xml:space="preserve">Name of Letters (NL), in which the child must mention the name or the sound of 20 letters and record the time; </w:t>
      </w:r>
    </w:p>
    <w:p w14:paraId="37DA1B06" w14:textId="51B7DD20" w:rsidR="00A57CC5" w:rsidRPr="005641A9" w:rsidRDefault="4379D923" w:rsidP="00BF26B2">
      <w:pPr>
        <w:pStyle w:val="Prrafodelista"/>
        <w:numPr>
          <w:ilvl w:val="0"/>
          <w:numId w:val="11"/>
        </w:numPr>
        <w:jc w:val="both"/>
        <w:rPr>
          <w:rFonts w:ascii="Times New Roman" w:hAnsi="Times New Roman" w:cs="Times New Roman"/>
          <w:lang w:val="en-GB"/>
        </w:rPr>
      </w:pPr>
      <w:r w:rsidRPr="005641A9">
        <w:rPr>
          <w:rFonts w:ascii="Times New Roman" w:hAnsi="Times New Roman" w:cs="Times New Roman"/>
          <w:lang w:val="en-GB"/>
        </w:rPr>
        <w:t xml:space="preserve">Same - Different (SD) where the child must identify </w:t>
      </w:r>
      <w:r w:rsidR="00C40846" w:rsidRPr="005641A9">
        <w:rPr>
          <w:rFonts w:ascii="Times New Roman" w:hAnsi="Times New Roman" w:cs="Times New Roman"/>
          <w:lang w:val="en-GB"/>
        </w:rPr>
        <w:t>whether</w:t>
      </w:r>
      <w:r w:rsidRPr="005641A9">
        <w:rPr>
          <w:rFonts w:ascii="Times New Roman" w:hAnsi="Times New Roman" w:cs="Times New Roman"/>
          <w:lang w:val="en-GB"/>
        </w:rPr>
        <w:t xml:space="preserve"> 20 pairs of words, some real, and others invented, are the same or different and the time is also recorded</w:t>
      </w:r>
      <w:r w:rsidR="00BF26B2" w:rsidRPr="005641A9">
        <w:rPr>
          <w:rFonts w:ascii="Times New Roman" w:hAnsi="Times New Roman" w:cs="Times New Roman"/>
          <w:lang w:val="en-GB"/>
        </w:rPr>
        <w:t>.</w:t>
      </w:r>
      <w:r w:rsidRPr="005641A9">
        <w:rPr>
          <w:rFonts w:ascii="Times New Roman" w:hAnsi="Times New Roman" w:cs="Times New Roman"/>
          <w:lang w:val="en-GB"/>
        </w:rPr>
        <w:t xml:space="preserve"> </w:t>
      </w:r>
    </w:p>
    <w:p w14:paraId="7C871DD5" w14:textId="77777777" w:rsidR="00A57CC5" w:rsidRPr="005641A9" w:rsidRDefault="00A57CC5" w:rsidP="002E1E22">
      <w:pPr>
        <w:spacing w:line="240" w:lineRule="auto"/>
        <w:ind w:firstLine="720"/>
        <w:jc w:val="both"/>
        <w:rPr>
          <w:szCs w:val="24"/>
          <w:lang w:val="en-GB"/>
        </w:rPr>
      </w:pPr>
    </w:p>
    <w:p w14:paraId="4F148708" w14:textId="5A7B1C4F" w:rsidR="00A57CC5" w:rsidRPr="005641A9" w:rsidRDefault="4379D923" w:rsidP="00A57CC5">
      <w:pPr>
        <w:pStyle w:val="Prrafodelista"/>
        <w:numPr>
          <w:ilvl w:val="0"/>
          <w:numId w:val="8"/>
        </w:numPr>
        <w:ind w:left="567"/>
        <w:jc w:val="both"/>
        <w:rPr>
          <w:rFonts w:ascii="Times New Roman" w:hAnsi="Times New Roman" w:cs="Times New Roman"/>
          <w:lang w:val="en-GB"/>
        </w:rPr>
      </w:pPr>
      <w:r w:rsidRPr="005641A9">
        <w:rPr>
          <w:rFonts w:ascii="Times New Roman" w:hAnsi="Times New Roman" w:cs="Times New Roman"/>
          <w:lang w:val="en-GB"/>
        </w:rPr>
        <w:t>Lexical Process: Reading Words (RW, real words) and Reading Pseudowords (RP, invented words), reading of a series of 20 items per task in which the time  and the number of correct answers are calculated</w:t>
      </w:r>
      <w:r w:rsidR="00BF26B2" w:rsidRPr="005641A9">
        <w:rPr>
          <w:rFonts w:ascii="Times New Roman" w:hAnsi="Times New Roman" w:cs="Times New Roman"/>
          <w:lang w:val="en-GB"/>
        </w:rPr>
        <w:t>.</w:t>
      </w:r>
    </w:p>
    <w:p w14:paraId="162405C2" w14:textId="77777777" w:rsidR="00A57CC5" w:rsidRPr="005641A9" w:rsidRDefault="4379D923" w:rsidP="00A57CC5">
      <w:pPr>
        <w:pStyle w:val="Prrafodelista"/>
        <w:numPr>
          <w:ilvl w:val="0"/>
          <w:numId w:val="8"/>
        </w:numPr>
        <w:ind w:left="567"/>
        <w:jc w:val="both"/>
        <w:rPr>
          <w:rFonts w:ascii="Times New Roman" w:hAnsi="Times New Roman" w:cs="Times New Roman"/>
          <w:lang w:val="en-GB"/>
        </w:rPr>
      </w:pPr>
      <w:r w:rsidRPr="005641A9">
        <w:rPr>
          <w:rFonts w:ascii="Times New Roman" w:hAnsi="Times New Roman" w:cs="Times New Roman"/>
          <w:lang w:val="en-GB"/>
        </w:rPr>
        <w:t xml:space="preserve">Grammar Processes: </w:t>
      </w:r>
    </w:p>
    <w:p w14:paraId="1BDD9C87" w14:textId="77777777" w:rsidR="00A57CC5" w:rsidRPr="005641A9" w:rsidRDefault="4379D923" w:rsidP="00BF26B2">
      <w:pPr>
        <w:pStyle w:val="Prrafodelista"/>
        <w:numPr>
          <w:ilvl w:val="1"/>
          <w:numId w:val="12"/>
        </w:numPr>
        <w:jc w:val="both"/>
        <w:rPr>
          <w:rFonts w:ascii="Times New Roman" w:hAnsi="Times New Roman" w:cs="Times New Roman"/>
          <w:lang w:val="en-GB"/>
        </w:rPr>
      </w:pPr>
      <w:r w:rsidRPr="005641A9">
        <w:rPr>
          <w:rFonts w:ascii="Times New Roman" w:hAnsi="Times New Roman" w:cs="Times New Roman"/>
          <w:lang w:val="en-GB"/>
        </w:rPr>
        <w:t xml:space="preserve">Grammar Structures (GS) matching a sentence / instruction with an image of four presented (out of 16 possible); </w:t>
      </w:r>
    </w:p>
    <w:p w14:paraId="08FF95D0" w14:textId="6B2AB9BF" w:rsidR="00A57CC5" w:rsidRPr="005641A9" w:rsidRDefault="4379D923" w:rsidP="00BF26B2">
      <w:pPr>
        <w:pStyle w:val="Prrafodelista"/>
        <w:numPr>
          <w:ilvl w:val="1"/>
          <w:numId w:val="12"/>
        </w:numPr>
        <w:jc w:val="both"/>
        <w:rPr>
          <w:rFonts w:ascii="Times New Roman" w:hAnsi="Times New Roman" w:cs="Times New Roman"/>
          <w:lang w:val="en-GB"/>
        </w:rPr>
      </w:pPr>
      <w:r w:rsidRPr="005641A9">
        <w:rPr>
          <w:rFonts w:ascii="Times New Roman" w:hAnsi="Times New Roman" w:cs="Times New Roman"/>
          <w:lang w:val="en-GB"/>
        </w:rPr>
        <w:t>Punctuation marks (PM), checking the knowledge and use of punctuation marks by reading a text in which the correct answers are considered (of the 11 available)</w:t>
      </w:r>
      <w:r w:rsidR="00BF26B2" w:rsidRPr="005641A9">
        <w:rPr>
          <w:rFonts w:ascii="Times New Roman" w:hAnsi="Times New Roman" w:cs="Times New Roman"/>
          <w:lang w:val="en-GB"/>
        </w:rPr>
        <w:t>.</w:t>
      </w:r>
      <w:r w:rsidRPr="005641A9">
        <w:rPr>
          <w:rFonts w:ascii="Times New Roman" w:hAnsi="Times New Roman" w:cs="Times New Roman"/>
          <w:lang w:val="en-GB"/>
        </w:rPr>
        <w:t xml:space="preserve"> </w:t>
      </w:r>
    </w:p>
    <w:p w14:paraId="67DB2524" w14:textId="77777777" w:rsidR="00A57CC5" w:rsidRPr="005641A9" w:rsidRDefault="00A57CC5" w:rsidP="002E1E22">
      <w:pPr>
        <w:spacing w:line="240" w:lineRule="auto"/>
        <w:ind w:firstLine="720"/>
        <w:jc w:val="both"/>
        <w:rPr>
          <w:szCs w:val="24"/>
          <w:lang w:val="en-GB"/>
        </w:rPr>
      </w:pPr>
    </w:p>
    <w:p w14:paraId="5FE36539" w14:textId="77777777" w:rsidR="00A57CC5" w:rsidRPr="005641A9" w:rsidRDefault="4379D923" w:rsidP="00A57CC5">
      <w:pPr>
        <w:pStyle w:val="Prrafodelista"/>
        <w:numPr>
          <w:ilvl w:val="0"/>
          <w:numId w:val="8"/>
        </w:numPr>
        <w:ind w:left="567"/>
        <w:jc w:val="both"/>
        <w:rPr>
          <w:rFonts w:ascii="Times New Roman" w:hAnsi="Times New Roman" w:cs="Times New Roman"/>
          <w:lang w:val="en-GB"/>
        </w:rPr>
      </w:pPr>
      <w:r w:rsidRPr="005641A9">
        <w:rPr>
          <w:rFonts w:ascii="Times New Roman" w:hAnsi="Times New Roman" w:cs="Times New Roman"/>
          <w:lang w:val="en-GB"/>
        </w:rPr>
        <w:t xml:space="preserve">Semantic Processes: </w:t>
      </w:r>
    </w:p>
    <w:p w14:paraId="36426813" w14:textId="77777777" w:rsidR="00A57CC5" w:rsidRPr="005641A9" w:rsidRDefault="4379D923" w:rsidP="00BF26B2">
      <w:pPr>
        <w:pStyle w:val="Prrafodelista"/>
        <w:numPr>
          <w:ilvl w:val="1"/>
          <w:numId w:val="13"/>
        </w:numPr>
        <w:jc w:val="both"/>
        <w:rPr>
          <w:rFonts w:ascii="Times New Roman" w:hAnsi="Times New Roman" w:cs="Times New Roman"/>
          <w:lang w:val="en-GB"/>
        </w:rPr>
      </w:pPr>
      <w:r w:rsidRPr="005641A9">
        <w:rPr>
          <w:rFonts w:ascii="Times New Roman" w:hAnsi="Times New Roman" w:cs="Times New Roman"/>
          <w:lang w:val="en-GB"/>
        </w:rPr>
        <w:t xml:space="preserve">Sentence Comprehension (SC), where the child must read sentences and respond to the questions (out of 16 possible); </w:t>
      </w:r>
    </w:p>
    <w:p w14:paraId="141AA6C8" w14:textId="77777777" w:rsidR="00A57CC5" w:rsidRPr="005641A9" w:rsidRDefault="4379D923" w:rsidP="00BF26B2">
      <w:pPr>
        <w:pStyle w:val="Prrafodelista"/>
        <w:numPr>
          <w:ilvl w:val="1"/>
          <w:numId w:val="13"/>
        </w:numPr>
        <w:jc w:val="both"/>
        <w:rPr>
          <w:rFonts w:ascii="Times New Roman" w:hAnsi="Times New Roman" w:cs="Times New Roman"/>
          <w:lang w:val="en-GB"/>
        </w:rPr>
      </w:pPr>
      <w:r w:rsidRPr="005641A9">
        <w:rPr>
          <w:rFonts w:ascii="Times New Roman" w:hAnsi="Times New Roman" w:cs="Times New Roman"/>
          <w:lang w:val="en-GB"/>
        </w:rPr>
        <w:t xml:space="preserve">Text comprehension (TC), where the participant has to read aloud four short texts (two narratives and two descriptive ones) and then answer four inferential questions for each text. The score comes from the total number of correct answers (out of 16 possible). </w:t>
      </w:r>
    </w:p>
    <w:p w14:paraId="607D3548" w14:textId="629BF534" w:rsidR="00A57CC5" w:rsidRPr="005641A9" w:rsidRDefault="4379D923" w:rsidP="00BF26B2">
      <w:pPr>
        <w:pStyle w:val="Prrafodelista"/>
        <w:numPr>
          <w:ilvl w:val="1"/>
          <w:numId w:val="13"/>
        </w:numPr>
        <w:jc w:val="both"/>
        <w:rPr>
          <w:rFonts w:ascii="Times New Roman" w:hAnsi="Times New Roman" w:cs="Times New Roman"/>
          <w:lang w:val="en-GB"/>
        </w:rPr>
      </w:pPr>
      <w:r w:rsidRPr="005641A9">
        <w:rPr>
          <w:rFonts w:ascii="Times New Roman" w:hAnsi="Times New Roman" w:cs="Times New Roman"/>
          <w:lang w:val="en-GB"/>
        </w:rPr>
        <w:lastRenderedPageBreak/>
        <w:t xml:space="preserve">Another task is Oral Comprehension (OC) in which the evaluator reads two descriptive texts to the child and checks the oral comprehension capacity with four inferential questions per text (out of 8 possible). </w:t>
      </w:r>
    </w:p>
    <w:p w14:paraId="33483DD1" w14:textId="77777777" w:rsidR="00A57CC5" w:rsidRPr="005641A9" w:rsidRDefault="00A57CC5" w:rsidP="002E1E22">
      <w:pPr>
        <w:spacing w:line="240" w:lineRule="auto"/>
        <w:ind w:firstLine="720"/>
        <w:jc w:val="both"/>
        <w:rPr>
          <w:szCs w:val="24"/>
          <w:lang w:val="en-GB"/>
        </w:rPr>
      </w:pPr>
    </w:p>
    <w:p w14:paraId="118E841F" w14:textId="67DDA005" w:rsidR="6A6F3AE7" w:rsidRPr="005641A9" w:rsidRDefault="4379D923" w:rsidP="002E1E22">
      <w:pPr>
        <w:spacing w:line="240" w:lineRule="auto"/>
        <w:ind w:firstLine="720"/>
        <w:jc w:val="both"/>
        <w:rPr>
          <w:szCs w:val="24"/>
          <w:lang w:val="en-GB"/>
        </w:rPr>
      </w:pPr>
      <w:r w:rsidRPr="005641A9">
        <w:rPr>
          <w:szCs w:val="24"/>
          <w:lang w:val="en-GB"/>
        </w:rPr>
        <w:t xml:space="preserve">Finally, </w:t>
      </w:r>
      <w:r w:rsidR="00066457" w:rsidRPr="005641A9">
        <w:rPr>
          <w:szCs w:val="24"/>
          <w:lang w:val="en-GB"/>
        </w:rPr>
        <w:t xml:space="preserve">in order </w:t>
      </w:r>
      <w:r w:rsidRPr="005641A9">
        <w:rPr>
          <w:szCs w:val="24"/>
          <w:lang w:val="en-GB"/>
        </w:rPr>
        <w:t>to calculate the principal indices in these tasks (NL, SD, RW, RP, and PM), the authors used the following formula: Index = (Hits / Time) x 100. Hits are the direct score or number of hits in the task, and Time is the seconds invested in its execution. The complete application of the instrument lasted approximately one hour. The resolution rhythm of each participant was carried out individually and in a single session.</w:t>
      </w:r>
      <w:bookmarkEnd w:id="8"/>
    </w:p>
    <w:p w14:paraId="0498E9C4" w14:textId="77777777" w:rsidR="00A57CC5" w:rsidRPr="005641A9" w:rsidRDefault="00A57CC5" w:rsidP="002E1E22">
      <w:pPr>
        <w:spacing w:line="240" w:lineRule="auto"/>
        <w:ind w:firstLine="720"/>
        <w:jc w:val="both"/>
        <w:rPr>
          <w:szCs w:val="24"/>
          <w:lang w:val="en-GB"/>
        </w:rPr>
      </w:pPr>
    </w:p>
    <w:p w14:paraId="6A3C1F0F" w14:textId="77777777" w:rsidR="004B3CCD" w:rsidRPr="005641A9" w:rsidRDefault="001C1939" w:rsidP="002E1E22">
      <w:pPr>
        <w:spacing w:line="240" w:lineRule="auto"/>
        <w:ind w:firstLine="0"/>
        <w:jc w:val="both"/>
        <w:rPr>
          <w:b/>
          <w:bCs/>
          <w:i/>
          <w:iCs/>
          <w:szCs w:val="24"/>
          <w:lang w:val="en-GB"/>
        </w:rPr>
      </w:pPr>
      <w:r w:rsidRPr="005641A9">
        <w:rPr>
          <w:b/>
          <w:bCs/>
          <w:i/>
          <w:iCs/>
          <w:szCs w:val="24"/>
          <w:lang w:val="en-GB"/>
        </w:rPr>
        <w:t>Procedure</w:t>
      </w:r>
    </w:p>
    <w:p w14:paraId="1FFD1C1A" w14:textId="77777777" w:rsidR="00921FDD" w:rsidRPr="005641A9" w:rsidRDefault="00921FDD" w:rsidP="002E1E22">
      <w:pPr>
        <w:spacing w:line="240" w:lineRule="auto"/>
        <w:jc w:val="both"/>
        <w:rPr>
          <w:szCs w:val="24"/>
          <w:lang w:val="en-GB"/>
        </w:rPr>
      </w:pPr>
      <w:bookmarkStart w:id="9" w:name="_Toc40025289"/>
      <w:bookmarkStart w:id="10" w:name="_Toc42904638"/>
      <w:bookmarkStart w:id="11" w:name="_Toc45662998"/>
      <w:r w:rsidRPr="005641A9">
        <w:rPr>
          <w:szCs w:val="24"/>
          <w:lang w:val="en-GB"/>
        </w:rPr>
        <w:t xml:space="preserve">All the participants were evaluated by following the same order of application of the instruments. To complete the application of all the tasks, three sessions of approximately 45 minutes each were necessary. In the first session, the application sequence was as follows: sections 1 and 2 of the IRPS. In the second session, the researchers used the PROLEC-R test, and finally, in the third session, the Irlen Screener administered section 3 of the IRPS. </w:t>
      </w:r>
    </w:p>
    <w:p w14:paraId="128467F6" w14:textId="10826F9B" w:rsidR="009442D8" w:rsidRPr="005641A9" w:rsidRDefault="00921FDD" w:rsidP="002E1E22">
      <w:pPr>
        <w:spacing w:line="240" w:lineRule="auto"/>
        <w:jc w:val="both"/>
        <w:rPr>
          <w:szCs w:val="24"/>
          <w:lang w:val="en-GB"/>
        </w:rPr>
      </w:pPr>
      <w:r w:rsidRPr="005641A9">
        <w:rPr>
          <w:szCs w:val="24"/>
          <w:lang w:val="en-GB"/>
        </w:rPr>
        <w:t>The legal representatives of all participants received and signed the informed consent document according to the recommendations of the Bioethics Committee under the Declaration of Helsinki</w:t>
      </w:r>
      <w:r w:rsidR="006D17C4" w:rsidRPr="005641A9">
        <w:rPr>
          <w:szCs w:val="24"/>
          <w:lang w:val="en-GB"/>
        </w:rPr>
        <w:t xml:space="preserve"> (</w:t>
      </w:r>
      <w:r w:rsidR="00A57CC5" w:rsidRPr="005641A9">
        <w:rPr>
          <w:szCs w:val="24"/>
          <w:lang w:val="en-GB"/>
        </w:rPr>
        <w:t xml:space="preserve">World Medical Association, </w:t>
      </w:r>
      <w:r w:rsidR="00B2544F" w:rsidRPr="005641A9">
        <w:rPr>
          <w:szCs w:val="24"/>
          <w:lang w:val="en-GB"/>
        </w:rPr>
        <w:t>2008</w:t>
      </w:r>
      <w:r w:rsidR="006D17C4" w:rsidRPr="005641A9">
        <w:rPr>
          <w:szCs w:val="24"/>
          <w:lang w:val="en-GB"/>
        </w:rPr>
        <w:t>)</w:t>
      </w:r>
      <w:r w:rsidRPr="005641A9">
        <w:rPr>
          <w:szCs w:val="24"/>
          <w:lang w:val="en-GB"/>
        </w:rPr>
        <w:t>. Data was collected after obtaining the signed informed consent document of each legal representative</w:t>
      </w:r>
      <w:r w:rsidR="3DE0563D" w:rsidRPr="005641A9">
        <w:rPr>
          <w:szCs w:val="24"/>
          <w:lang w:val="en-GB"/>
        </w:rPr>
        <w:t xml:space="preserve">. </w:t>
      </w:r>
      <w:r w:rsidRPr="005641A9">
        <w:rPr>
          <w:szCs w:val="24"/>
          <w:lang w:val="en-GB"/>
        </w:rPr>
        <w:t>The research was approved by the Bioethics Committee of the University of Cuenca.</w:t>
      </w:r>
    </w:p>
    <w:p w14:paraId="7A452D6E" w14:textId="77777777" w:rsidR="00A57CC5" w:rsidRPr="005641A9" w:rsidRDefault="00A57CC5" w:rsidP="002E1E22">
      <w:pPr>
        <w:spacing w:line="240" w:lineRule="auto"/>
        <w:jc w:val="both"/>
        <w:rPr>
          <w:szCs w:val="24"/>
          <w:lang w:val="en-GB"/>
        </w:rPr>
      </w:pPr>
    </w:p>
    <w:p w14:paraId="35AEDFB3" w14:textId="77777777" w:rsidR="009442D8" w:rsidRPr="005641A9" w:rsidRDefault="009442D8" w:rsidP="002E1E22">
      <w:pPr>
        <w:spacing w:line="240" w:lineRule="auto"/>
        <w:ind w:firstLine="0"/>
        <w:jc w:val="both"/>
        <w:rPr>
          <w:b/>
          <w:bCs/>
          <w:i/>
          <w:iCs/>
          <w:szCs w:val="24"/>
          <w:lang w:val="en-GB"/>
        </w:rPr>
      </w:pPr>
      <w:r w:rsidRPr="005641A9">
        <w:rPr>
          <w:b/>
          <w:bCs/>
          <w:i/>
          <w:iCs/>
          <w:szCs w:val="24"/>
          <w:lang w:val="en-GB"/>
        </w:rPr>
        <w:t>Data analyses</w:t>
      </w:r>
    </w:p>
    <w:p w14:paraId="618ABB21" w14:textId="3CF54691" w:rsidR="009442D8" w:rsidRPr="005641A9" w:rsidRDefault="009442D8" w:rsidP="002E1E22">
      <w:pPr>
        <w:spacing w:line="240" w:lineRule="auto"/>
        <w:jc w:val="both"/>
        <w:rPr>
          <w:rFonts w:eastAsia="Times New Roman"/>
          <w:szCs w:val="24"/>
          <w:lang w:val="en-GB"/>
        </w:rPr>
      </w:pPr>
      <w:r w:rsidRPr="005641A9">
        <w:rPr>
          <w:rFonts w:eastAsia="Times New Roman"/>
          <w:szCs w:val="24"/>
          <w:lang w:val="en-GB"/>
        </w:rPr>
        <w:t>For the data analyses, the researchers used the Statistical Package for Social Sciences (SPSS) version 23 and a 95% reliability index with a margin of error of 0.05. All the variables that implied scores on the evaluated dimensions are an interval and ratio. Therefore, before the inferential statistical analysis, the application of the Kolmogorov-Smirnov test was carried out, which showed a non-normal distribution (</w:t>
      </w:r>
      <w:r w:rsidRPr="005641A9">
        <w:rPr>
          <w:rFonts w:eastAsia="Times New Roman"/>
          <w:i/>
          <w:iCs/>
          <w:szCs w:val="24"/>
          <w:lang w:val="en-GB"/>
        </w:rPr>
        <w:t>p</w:t>
      </w:r>
      <w:r w:rsidRPr="005641A9">
        <w:rPr>
          <w:rFonts w:eastAsia="Times New Roman"/>
          <w:szCs w:val="24"/>
          <w:lang w:val="en-GB"/>
        </w:rPr>
        <w:t xml:space="preserve"> ≤ 0.05) for all variables. It was also possible to verify employing the test of homogeneity of variances between groups that the variables of PROLEC-R were not homogeneous (</w:t>
      </w:r>
      <w:r w:rsidRPr="005641A9">
        <w:rPr>
          <w:rFonts w:eastAsia="Times New Roman"/>
          <w:i/>
          <w:iCs/>
          <w:szCs w:val="24"/>
          <w:lang w:val="en-GB"/>
        </w:rPr>
        <w:t xml:space="preserve">p </w:t>
      </w:r>
      <w:r w:rsidRPr="005641A9">
        <w:rPr>
          <w:rFonts w:eastAsia="Times New Roman"/>
          <w:szCs w:val="24"/>
          <w:lang w:val="en-GB"/>
        </w:rPr>
        <w:t xml:space="preserve">&lt; 0.05). For these reasons, for the statistical analyses, this study used non-parametric tests considering their distribution and homoscedasticity: the Mann-Whitney </w:t>
      </w:r>
      <w:r w:rsidRPr="005641A9">
        <w:rPr>
          <w:rFonts w:eastAsia="Times New Roman"/>
          <w:i/>
          <w:iCs/>
          <w:szCs w:val="24"/>
          <w:lang w:val="en-GB"/>
        </w:rPr>
        <w:t>U</w:t>
      </w:r>
      <w:r w:rsidRPr="005641A9">
        <w:rPr>
          <w:rFonts w:eastAsia="Times New Roman"/>
          <w:szCs w:val="24"/>
          <w:lang w:val="en-GB"/>
        </w:rPr>
        <w:t xml:space="preserve"> test was used for comparisons between the EG and CG, and Cohen</w:t>
      </w:r>
      <w:r w:rsidR="00C55A98" w:rsidRPr="005641A9">
        <w:rPr>
          <w:rFonts w:eastAsia="Times New Roman"/>
          <w:szCs w:val="24"/>
          <w:lang w:val="en-GB"/>
        </w:rPr>
        <w:t>’</w:t>
      </w:r>
      <w:r w:rsidRPr="005641A9">
        <w:rPr>
          <w:rFonts w:eastAsia="Times New Roman"/>
          <w:szCs w:val="24"/>
          <w:lang w:val="en-GB"/>
        </w:rPr>
        <w:t xml:space="preserve">s </w:t>
      </w:r>
      <w:r w:rsidRPr="005641A9">
        <w:rPr>
          <w:rFonts w:eastAsia="Times New Roman"/>
          <w:i/>
          <w:iCs/>
          <w:szCs w:val="24"/>
          <w:lang w:val="en-GB"/>
        </w:rPr>
        <w:t xml:space="preserve">d </w:t>
      </w:r>
      <w:r w:rsidRPr="005641A9">
        <w:rPr>
          <w:rFonts w:eastAsia="Times New Roman"/>
          <w:szCs w:val="24"/>
          <w:lang w:val="en-GB"/>
        </w:rPr>
        <w:t xml:space="preserve">test to </w:t>
      </w:r>
      <w:r w:rsidR="005641A9" w:rsidRPr="005641A9">
        <w:rPr>
          <w:rFonts w:eastAsia="Times New Roman"/>
          <w:szCs w:val="24"/>
          <w:lang w:val="en-GB"/>
        </w:rPr>
        <w:t>analyse</w:t>
      </w:r>
      <w:r w:rsidRPr="005641A9">
        <w:rPr>
          <w:rFonts w:eastAsia="Times New Roman"/>
          <w:szCs w:val="24"/>
          <w:lang w:val="en-GB"/>
        </w:rPr>
        <w:t xml:space="preserve"> the effect size.</w:t>
      </w:r>
    </w:p>
    <w:p w14:paraId="2C6F67F3" w14:textId="77777777" w:rsidR="00B63B61" w:rsidRPr="005641A9" w:rsidRDefault="00B63B61" w:rsidP="002E1E22">
      <w:pPr>
        <w:spacing w:line="240" w:lineRule="auto"/>
        <w:ind w:firstLine="0"/>
        <w:jc w:val="both"/>
        <w:rPr>
          <w:szCs w:val="24"/>
          <w:lang w:val="en-GB"/>
        </w:rPr>
      </w:pPr>
    </w:p>
    <w:p w14:paraId="1D4CB2EF" w14:textId="08C298DF" w:rsidR="004B3CCD" w:rsidRPr="005641A9" w:rsidRDefault="001C1939" w:rsidP="002E1E22">
      <w:pPr>
        <w:spacing w:line="240" w:lineRule="auto"/>
        <w:ind w:firstLine="0"/>
        <w:jc w:val="both"/>
        <w:rPr>
          <w:b/>
          <w:bCs/>
          <w:i/>
          <w:iCs/>
          <w:szCs w:val="24"/>
          <w:lang w:val="en-GB"/>
        </w:rPr>
      </w:pPr>
      <w:r w:rsidRPr="005641A9">
        <w:rPr>
          <w:b/>
          <w:bCs/>
          <w:szCs w:val="24"/>
          <w:lang w:val="en-GB"/>
        </w:rPr>
        <w:t>R</w:t>
      </w:r>
      <w:bookmarkEnd w:id="9"/>
      <w:bookmarkEnd w:id="10"/>
      <w:bookmarkEnd w:id="11"/>
      <w:r w:rsidRPr="005641A9">
        <w:rPr>
          <w:b/>
          <w:bCs/>
          <w:szCs w:val="24"/>
          <w:lang w:val="en-GB"/>
        </w:rPr>
        <w:t>esults</w:t>
      </w:r>
    </w:p>
    <w:p w14:paraId="09596F09" w14:textId="3F2AEC33" w:rsidR="00B07D49" w:rsidRPr="005641A9" w:rsidRDefault="00B07D49" w:rsidP="002E1E22">
      <w:pPr>
        <w:spacing w:line="240" w:lineRule="auto"/>
        <w:jc w:val="both"/>
        <w:rPr>
          <w:rFonts w:eastAsia="Times New Roman"/>
          <w:szCs w:val="24"/>
          <w:lang w:val="en-GB"/>
        </w:rPr>
      </w:pPr>
      <w:r w:rsidRPr="005641A9">
        <w:rPr>
          <w:rFonts w:eastAsia="Times New Roman"/>
          <w:szCs w:val="24"/>
          <w:lang w:val="en-GB"/>
        </w:rPr>
        <w:t xml:space="preserve">For group discrimination, the ROC curve analysis was used to determine a reference point and distinguish the IS group and the control group based on the total score from section 1 and the criteria as defined from section 3 of the IRPS. The Mann Whitney </w:t>
      </w:r>
      <w:r w:rsidRPr="005641A9">
        <w:rPr>
          <w:rFonts w:eastAsia="Times New Roman"/>
          <w:i/>
          <w:iCs/>
          <w:szCs w:val="24"/>
          <w:lang w:val="en-GB"/>
        </w:rPr>
        <w:t>U</w:t>
      </w:r>
      <w:r w:rsidRPr="005641A9">
        <w:rPr>
          <w:rFonts w:eastAsia="Times New Roman"/>
          <w:szCs w:val="24"/>
          <w:lang w:val="en-GB"/>
        </w:rPr>
        <w:t xml:space="preserve"> test showed significant differences in both dimensions of section 1 (</w:t>
      </w:r>
      <w:r w:rsidRPr="005641A9">
        <w:rPr>
          <w:rFonts w:eastAsia="Times New Roman"/>
          <w:i/>
          <w:iCs/>
          <w:szCs w:val="24"/>
          <w:lang w:val="en-GB"/>
        </w:rPr>
        <w:t>p</w:t>
      </w:r>
      <w:r w:rsidRPr="005641A9">
        <w:rPr>
          <w:rFonts w:eastAsia="Times New Roman"/>
          <w:szCs w:val="24"/>
          <w:lang w:val="en-GB"/>
        </w:rPr>
        <w:t xml:space="preserve"> &lt; 0.05) and all the tasks of section 2 (</w:t>
      </w:r>
      <w:r w:rsidRPr="005641A9">
        <w:rPr>
          <w:rFonts w:eastAsia="Times New Roman"/>
          <w:i/>
          <w:iCs/>
          <w:szCs w:val="24"/>
          <w:lang w:val="en-GB"/>
        </w:rPr>
        <w:t>p</w:t>
      </w:r>
      <w:r w:rsidRPr="005641A9">
        <w:rPr>
          <w:rFonts w:eastAsia="Times New Roman"/>
          <w:szCs w:val="24"/>
          <w:lang w:val="en-GB"/>
        </w:rPr>
        <w:t xml:space="preserve"> &lt; 0.05). These results indicated that distortions, visual disturbances, and perceptual ability were significantly worse in children with IS compared to non-IS (</w:t>
      </w:r>
      <w:r w:rsidR="00FF4608" w:rsidRPr="005641A9">
        <w:rPr>
          <w:rFonts w:eastAsia="Times New Roman"/>
          <w:szCs w:val="24"/>
          <w:lang w:val="en-GB"/>
        </w:rPr>
        <w:t>t</w:t>
      </w:r>
      <w:r w:rsidRPr="005641A9">
        <w:rPr>
          <w:rFonts w:eastAsia="Times New Roman"/>
          <w:szCs w:val="24"/>
          <w:lang w:val="en-GB"/>
        </w:rPr>
        <w:t>able 1).</w:t>
      </w:r>
    </w:p>
    <w:p w14:paraId="35BCCE17" w14:textId="77777777" w:rsidR="00FF4608" w:rsidRPr="005641A9" w:rsidRDefault="00FF4608" w:rsidP="002E1E22">
      <w:pPr>
        <w:spacing w:line="240" w:lineRule="auto"/>
        <w:ind w:firstLine="0"/>
        <w:jc w:val="both"/>
        <w:rPr>
          <w:szCs w:val="24"/>
          <w:lang w:val="en-GB"/>
        </w:rPr>
      </w:pPr>
    </w:p>
    <w:p w14:paraId="3DAC9ABD" w14:textId="7699F6F1" w:rsidR="00FF4608" w:rsidRPr="005641A9" w:rsidRDefault="00FF4608" w:rsidP="00FF4608">
      <w:pPr>
        <w:spacing w:line="240" w:lineRule="auto"/>
        <w:ind w:firstLine="0"/>
        <w:jc w:val="both"/>
        <w:rPr>
          <w:szCs w:val="24"/>
          <w:lang w:val="en-GB"/>
        </w:rPr>
      </w:pPr>
      <w:r w:rsidRPr="005641A9">
        <w:rPr>
          <w:b/>
          <w:bCs/>
          <w:szCs w:val="24"/>
          <w:lang w:val="en-GB"/>
        </w:rPr>
        <w:t>Table 1</w:t>
      </w:r>
    </w:p>
    <w:p w14:paraId="41D7E155" w14:textId="0BA373AA" w:rsidR="00FF4608" w:rsidRPr="005641A9" w:rsidRDefault="00FF4608" w:rsidP="00FF4608">
      <w:pPr>
        <w:spacing w:line="240" w:lineRule="auto"/>
        <w:ind w:firstLine="0"/>
        <w:jc w:val="both"/>
        <w:rPr>
          <w:i/>
          <w:iCs/>
          <w:szCs w:val="24"/>
          <w:lang w:val="en-GB"/>
        </w:rPr>
      </w:pPr>
      <w:r w:rsidRPr="005641A9">
        <w:rPr>
          <w:i/>
          <w:iCs/>
          <w:szCs w:val="24"/>
          <w:lang w:val="en-GB"/>
        </w:rPr>
        <w:t>Means (and SD) of the scores on the Irlen Reading Perceptual Scale (IRPS) in the Irlen Syndrome group (ISG) and the control group No Irlen (CG)</w:t>
      </w:r>
    </w:p>
    <w:tbl>
      <w:tblPr>
        <w:tblW w:w="8838" w:type="dxa"/>
        <w:tblCellMar>
          <w:left w:w="70" w:type="dxa"/>
          <w:right w:w="70" w:type="dxa"/>
        </w:tblCellMar>
        <w:tblLook w:val="04A0" w:firstRow="1" w:lastRow="0" w:firstColumn="1" w:lastColumn="0" w:noHBand="0" w:noVBand="1"/>
      </w:tblPr>
      <w:tblGrid>
        <w:gridCol w:w="1005"/>
        <w:gridCol w:w="2479"/>
        <w:gridCol w:w="1338"/>
        <w:gridCol w:w="1340"/>
        <w:gridCol w:w="1338"/>
        <w:gridCol w:w="1338"/>
      </w:tblGrid>
      <w:tr w:rsidR="00FF4608" w:rsidRPr="005641A9" w14:paraId="4F00875C" w14:textId="77777777" w:rsidTr="00FF4608">
        <w:trPr>
          <w:trHeight w:val="300"/>
        </w:trPr>
        <w:tc>
          <w:tcPr>
            <w:tcW w:w="1005" w:type="dxa"/>
            <w:tcBorders>
              <w:top w:val="single" w:sz="4" w:space="0" w:color="auto"/>
              <w:left w:val="nil"/>
              <w:bottom w:val="single" w:sz="4" w:space="0" w:color="auto"/>
              <w:right w:val="nil"/>
            </w:tcBorders>
            <w:shd w:val="clear" w:color="auto" w:fill="auto"/>
            <w:noWrap/>
            <w:vAlign w:val="center"/>
            <w:hideMark/>
          </w:tcPr>
          <w:p w14:paraId="11EC5C7D" w14:textId="77777777" w:rsidR="00FF4608" w:rsidRPr="005641A9" w:rsidRDefault="00FF4608" w:rsidP="00FF4608">
            <w:pPr>
              <w:pStyle w:val="Correspondencedetails"/>
              <w:spacing w:before="0" w:line="240" w:lineRule="auto"/>
              <w:jc w:val="center"/>
              <w:rPr>
                <w:color w:val="000000"/>
              </w:rPr>
            </w:pPr>
            <w:r w:rsidRPr="005641A9">
              <w:t>Section</w:t>
            </w:r>
          </w:p>
        </w:tc>
        <w:tc>
          <w:tcPr>
            <w:tcW w:w="2479" w:type="dxa"/>
            <w:tcBorders>
              <w:top w:val="single" w:sz="4" w:space="0" w:color="auto"/>
              <w:left w:val="nil"/>
              <w:bottom w:val="single" w:sz="4" w:space="0" w:color="auto"/>
              <w:right w:val="nil"/>
            </w:tcBorders>
            <w:shd w:val="clear" w:color="auto" w:fill="auto"/>
            <w:vAlign w:val="center"/>
            <w:hideMark/>
          </w:tcPr>
          <w:p w14:paraId="33A4DC63" w14:textId="77777777" w:rsidR="00FF4608" w:rsidRPr="005641A9" w:rsidRDefault="00FF4608" w:rsidP="00FF4608">
            <w:pPr>
              <w:pStyle w:val="Correspondencedetails"/>
              <w:spacing w:before="0" w:line="240" w:lineRule="auto"/>
              <w:jc w:val="center"/>
              <w:rPr>
                <w:color w:val="000000"/>
              </w:rPr>
            </w:pPr>
            <w:r w:rsidRPr="005641A9">
              <w:rPr>
                <w:color w:val="000000"/>
              </w:rPr>
              <w:t>Task</w:t>
            </w:r>
          </w:p>
        </w:tc>
        <w:tc>
          <w:tcPr>
            <w:tcW w:w="1338" w:type="dxa"/>
            <w:tcBorders>
              <w:top w:val="single" w:sz="4" w:space="0" w:color="auto"/>
              <w:left w:val="nil"/>
              <w:bottom w:val="single" w:sz="4" w:space="0" w:color="auto"/>
              <w:right w:val="nil"/>
            </w:tcBorders>
            <w:shd w:val="clear" w:color="auto" w:fill="auto"/>
            <w:vAlign w:val="center"/>
            <w:hideMark/>
          </w:tcPr>
          <w:p w14:paraId="56A7858D" w14:textId="77777777" w:rsidR="00FF4608" w:rsidRPr="005641A9" w:rsidRDefault="00FF4608" w:rsidP="00FF4608">
            <w:pPr>
              <w:pStyle w:val="Correspondencedetails"/>
              <w:spacing w:before="0" w:line="240" w:lineRule="auto"/>
              <w:jc w:val="center"/>
              <w:rPr>
                <w:color w:val="000000"/>
              </w:rPr>
            </w:pPr>
            <w:r w:rsidRPr="005641A9">
              <w:rPr>
                <w:color w:val="000000"/>
              </w:rPr>
              <w:t>ISG</w:t>
            </w:r>
          </w:p>
        </w:tc>
        <w:tc>
          <w:tcPr>
            <w:tcW w:w="1340" w:type="dxa"/>
            <w:tcBorders>
              <w:top w:val="single" w:sz="4" w:space="0" w:color="auto"/>
              <w:left w:val="nil"/>
              <w:bottom w:val="single" w:sz="4" w:space="0" w:color="auto"/>
              <w:right w:val="nil"/>
            </w:tcBorders>
            <w:shd w:val="clear" w:color="auto" w:fill="auto"/>
            <w:vAlign w:val="center"/>
            <w:hideMark/>
          </w:tcPr>
          <w:p w14:paraId="73BB45EA" w14:textId="77777777" w:rsidR="00FF4608" w:rsidRPr="005641A9" w:rsidRDefault="00FF4608" w:rsidP="00FF4608">
            <w:pPr>
              <w:pStyle w:val="Correspondencedetails"/>
              <w:spacing w:before="0" w:line="240" w:lineRule="auto"/>
              <w:jc w:val="center"/>
              <w:rPr>
                <w:color w:val="000000"/>
              </w:rPr>
            </w:pPr>
            <w:r w:rsidRPr="005641A9">
              <w:rPr>
                <w:color w:val="000000"/>
              </w:rPr>
              <w:t>CG</w:t>
            </w:r>
          </w:p>
        </w:tc>
        <w:tc>
          <w:tcPr>
            <w:tcW w:w="1338" w:type="dxa"/>
            <w:tcBorders>
              <w:top w:val="single" w:sz="4" w:space="0" w:color="auto"/>
              <w:left w:val="nil"/>
              <w:bottom w:val="single" w:sz="4" w:space="0" w:color="auto"/>
              <w:right w:val="nil"/>
            </w:tcBorders>
            <w:shd w:val="clear" w:color="auto" w:fill="auto"/>
            <w:noWrap/>
            <w:vAlign w:val="center"/>
            <w:hideMark/>
          </w:tcPr>
          <w:p w14:paraId="72761E16" w14:textId="77777777" w:rsidR="00FF4608" w:rsidRPr="005641A9" w:rsidRDefault="00FF4608" w:rsidP="00FF4608">
            <w:pPr>
              <w:pStyle w:val="Correspondencedetails"/>
              <w:spacing w:before="0" w:line="240" w:lineRule="auto"/>
              <w:jc w:val="center"/>
              <w:rPr>
                <w:i/>
                <w:iCs/>
                <w:color w:val="000000"/>
              </w:rPr>
            </w:pPr>
            <w:r w:rsidRPr="005641A9">
              <w:rPr>
                <w:i/>
                <w:iCs/>
                <w:color w:val="000000"/>
              </w:rPr>
              <w:t>U</w:t>
            </w:r>
          </w:p>
        </w:tc>
        <w:tc>
          <w:tcPr>
            <w:tcW w:w="1338" w:type="dxa"/>
            <w:tcBorders>
              <w:top w:val="single" w:sz="4" w:space="0" w:color="auto"/>
              <w:left w:val="nil"/>
              <w:bottom w:val="single" w:sz="4" w:space="0" w:color="auto"/>
              <w:right w:val="nil"/>
            </w:tcBorders>
            <w:shd w:val="clear" w:color="auto" w:fill="auto"/>
            <w:noWrap/>
            <w:vAlign w:val="center"/>
            <w:hideMark/>
          </w:tcPr>
          <w:p w14:paraId="386D2A67" w14:textId="77777777" w:rsidR="00FF4608" w:rsidRPr="005641A9" w:rsidRDefault="00FF4608" w:rsidP="00FF4608">
            <w:pPr>
              <w:pStyle w:val="Correspondencedetails"/>
              <w:spacing w:before="0" w:line="240" w:lineRule="auto"/>
              <w:jc w:val="center"/>
              <w:rPr>
                <w:i/>
                <w:iCs/>
                <w:color w:val="000000"/>
              </w:rPr>
            </w:pPr>
            <w:r w:rsidRPr="005641A9">
              <w:rPr>
                <w:i/>
                <w:iCs/>
                <w:color w:val="000000"/>
              </w:rPr>
              <w:t>d</w:t>
            </w:r>
          </w:p>
        </w:tc>
      </w:tr>
      <w:tr w:rsidR="00FF4608" w:rsidRPr="005641A9" w14:paraId="5F462994" w14:textId="77777777" w:rsidTr="00FF4608">
        <w:trPr>
          <w:trHeight w:val="450"/>
        </w:trPr>
        <w:tc>
          <w:tcPr>
            <w:tcW w:w="1005" w:type="dxa"/>
            <w:vMerge w:val="restart"/>
            <w:tcBorders>
              <w:top w:val="single" w:sz="4" w:space="0" w:color="auto"/>
              <w:left w:val="nil"/>
              <w:bottom w:val="nil"/>
              <w:right w:val="nil"/>
            </w:tcBorders>
            <w:shd w:val="clear" w:color="auto" w:fill="auto"/>
            <w:noWrap/>
            <w:vAlign w:val="center"/>
            <w:hideMark/>
          </w:tcPr>
          <w:p w14:paraId="6255BB5F" w14:textId="77777777" w:rsidR="00FF4608" w:rsidRPr="005641A9" w:rsidRDefault="00FF4608" w:rsidP="002272BE">
            <w:pPr>
              <w:pStyle w:val="Correspondencedetails"/>
              <w:spacing w:before="0" w:line="240" w:lineRule="auto"/>
              <w:jc w:val="both"/>
              <w:rPr>
                <w:color w:val="000000"/>
              </w:rPr>
            </w:pPr>
            <w:r w:rsidRPr="005641A9">
              <w:lastRenderedPageBreak/>
              <w:t>1</w:t>
            </w:r>
          </w:p>
        </w:tc>
        <w:tc>
          <w:tcPr>
            <w:tcW w:w="2479" w:type="dxa"/>
            <w:tcBorders>
              <w:top w:val="single" w:sz="4" w:space="0" w:color="auto"/>
              <w:left w:val="nil"/>
              <w:bottom w:val="nil"/>
              <w:right w:val="nil"/>
            </w:tcBorders>
            <w:shd w:val="clear" w:color="auto" w:fill="auto"/>
            <w:vAlign w:val="center"/>
            <w:hideMark/>
          </w:tcPr>
          <w:p w14:paraId="0E021B62" w14:textId="77777777" w:rsidR="00FF4608" w:rsidRPr="005641A9" w:rsidRDefault="00FF4608" w:rsidP="002272BE">
            <w:pPr>
              <w:pStyle w:val="Correspondencedetails"/>
              <w:spacing w:before="0" w:line="240" w:lineRule="auto"/>
              <w:jc w:val="both"/>
              <w:rPr>
                <w:color w:val="000000"/>
              </w:rPr>
            </w:pPr>
            <w:r w:rsidRPr="005641A9">
              <w:rPr>
                <w:color w:val="000000"/>
              </w:rPr>
              <w:t>Visual Difficulties</w:t>
            </w:r>
          </w:p>
        </w:tc>
        <w:tc>
          <w:tcPr>
            <w:tcW w:w="1338" w:type="dxa"/>
            <w:tcBorders>
              <w:top w:val="single" w:sz="4" w:space="0" w:color="auto"/>
              <w:left w:val="nil"/>
              <w:bottom w:val="nil"/>
              <w:right w:val="nil"/>
            </w:tcBorders>
            <w:shd w:val="clear" w:color="auto" w:fill="auto"/>
            <w:vAlign w:val="center"/>
            <w:hideMark/>
          </w:tcPr>
          <w:p w14:paraId="01E13959" w14:textId="77777777" w:rsidR="00FF4608" w:rsidRPr="005641A9" w:rsidRDefault="00FF4608" w:rsidP="00FF4608">
            <w:pPr>
              <w:pStyle w:val="Correspondencedetails"/>
              <w:spacing w:before="0" w:line="240" w:lineRule="auto"/>
              <w:jc w:val="center"/>
              <w:rPr>
                <w:color w:val="000000"/>
              </w:rPr>
            </w:pPr>
            <w:r w:rsidRPr="005641A9">
              <w:rPr>
                <w:color w:val="000000"/>
              </w:rPr>
              <w:t>46.96</w:t>
            </w:r>
          </w:p>
          <w:p w14:paraId="3861CE65" w14:textId="77777777" w:rsidR="00FF4608" w:rsidRPr="005641A9" w:rsidRDefault="00FF4608" w:rsidP="00FF4608">
            <w:pPr>
              <w:pStyle w:val="Correspondencedetails"/>
              <w:spacing w:before="0" w:line="240" w:lineRule="auto"/>
              <w:jc w:val="center"/>
              <w:rPr>
                <w:color w:val="000000"/>
              </w:rPr>
            </w:pPr>
            <w:r w:rsidRPr="005641A9">
              <w:rPr>
                <w:color w:val="000000"/>
              </w:rPr>
              <w:t>(9.7)</w:t>
            </w:r>
          </w:p>
        </w:tc>
        <w:tc>
          <w:tcPr>
            <w:tcW w:w="1340" w:type="dxa"/>
            <w:tcBorders>
              <w:top w:val="single" w:sz="4" w:space="0" w:color="auto"/>
              <w:left w:val="nil"/>
              <w:bottom w:val="nil"/>
              <w:right w:val="nil"/>
            </w:tcBorders>
            <w:shd w:val="clear" w:color="auto" w:fill="auto"/>
            <w:vAlign w:val="center"/>
            <w:hideMark/>
          </w:tcPr>
          <w:p w14:paraId="1B37C1FA" w14:textId="77777777" w:rsidR="00FF4608" w:rsidRPr="005641A9" w:rsidRDefault="00FF4608" w:rsidP="00FF4608">
            <w:pPr>
              <w:pStyle w:val="Correspondencedetails"/>
              <w:spacing w:before="0" w:line="240" w:lineRule="auto"/>
              <w:jc w:val="center"/>
              <w:rPr>
                <w:color w:val="000000"/>
              </w:rPr>
            </w:pPr>
            <w:r w:rsidRPr="005641A9">
              <w:rPr>
                <w:color w:val="000000"/>
              </w:rPr>
              <w:t>26.49</w:t>
            </w:r>
          </w:p>
          <w:p w14:paraId="451950A9" w14:textId="77777777" w:rsidR="00FF4608" w:rsidRPr="005641A9" w:rsidRDefault="00FF4608" w:rsidP="00FF4608">
            <w:pPr>
              <w:pStyle w:val="Correspondencedetails"/>
              <w:spacing w:before="0" w:line="240" w:lineRule="auto"/>
              <w:jc w:val="center"/>
              <w:rPr>
                <w:color w:val="000000"/>
              </w:rPr>
            </w:pPr>
            <w:r w:rsidRPr="005641A9">
              <w:rPr>
                <w:color w:val="000000"/>
              </w:rPr>
              <w:t>(6.03)</w:t>
            </w:r>
          </w:p>
        </w:tc>
        <w:tc>
          <w:tcPr>
            <w:tcW w:w="1338" w:type="dxa"/>
            <w:tcBorders>
              <w:top w:val="single" w:sz="4" w:space="0" w:color="auto"/>
              <w:left w:val="nil"/>
              <w:bottom w:val="nil"/>
              <w:right w:val="nil"/>
            </w:tcBorders>
            <w:shd w:val="clear" w:color="auto" w:fill="auto"/>
            <w:noWrap/>
            <w:vAlign w:val="center"/>
            <w:hideMark/>
          </w:tcPr>
          <w:p w14:paraId="7738501D" w14:textId="77777777" w:rsidR="00FF4608" w:rsidRPr="005641A9" w:rsidRDefault="00FF4608" w:rsidP="00FF4608">
            <w:pPr>
              <w:pStyle w:val="Correspondencedetails"/>
              <w:spacing w:before="0" w:line="240" w:lineRule="auto"/>
              <w:jc w:val="center"/>
              <w:rPr>
                <w:color w:val="000000"/>
              </w:rPr>
            </w:pPr>
            <w:r w:rsidRPr="005641A9">
              <w:rPr>
                <w:color w:val="000000"/>
              </w:rPr>
              <w:t>.001**</w:t>
            </w:r>
          </w:p>
        </w:tc>
        <w:tc>
          <w:tcPr>
            <w:tcW w:w="1338" w:type="dxa"/>
            <w:tcBorders>
              <w:top w:val="single" w:sz="4" w:space="0" w:color="auto"/>
              <w:left w:val="nil"/>
              <w:bottom w:val="nil"/>
              <w:right w:val="nil"/>
            </w:tcBorders>
            <w:shd w:val="clear" w:color="auto" w:fill="auto"/>
            <w:noWrap/>
            <w:vAlign w:val="center"/>
            <w:hideMark/>
          </w:tcPr>
          <w:p w14:paraId="466657E1" w14:textId="77777777" w:rsidR="00FF4608" w:rsidRPr="005641A9" w:rsidRDefault="00FF4608" w:rsidP="00FF4608">
            <w:pPr>
              <w:pStyle w:val="Correspondencedetails"/>
              <w:spacing w:before="0" w:line="240" w:lineRule="auto"/>
              <w:jc w:val="center"/>
              <w:rPr>
                <w:color w:val="000000"/>
              </w:rPr>
            </w:pPr>
            <w:r w:rsidRPr="005641A9">
              <w:rPr>
                <w:color w:val="000000"/>
              </w:rPr>
              <w:t>2.53</w:t>
            </w:r>
          </w:p>
        </w:tc>
      </w:tr>
      <w:tr w:rsidR="00FF4608" w:rsidRPr="005641A9" w14:paraId="10DE05EE" w14:textId="77777777" w:rsidTr="00FF4608">
        <w:trPr>
          <w:trHeight w:val="450"/>
        </w:trPr>
        <w:tc>
          <w:tcPr>
            <w:tcW w:w="1005" w:type="dxa"/>
            <w:vMerge/>
            <w:tcBorders>
              <w:bottom w:val="single" w:sz="4" w:space="0" w:color="auto"/>
            </w:tcBorders>
            <w:vAlign w:val="center"/>
            <w:hideMark/>
          </w:tcPr>
          <w:p w14:paraId="21B6009D" w14:textId="77777777" w:rsidR="00FF4608" w:rsidRPr="005641A9" w:rsidRDefault="00FF4608" w:rsidP="002272BE">
            <w:pPr>
              <w:pStyle w:val="Correspondencedetails"/>
              <w:spacing w:before="0" w:line="240" w:lineRule="auto"/>
              <w:jc w:val="both"/>
              <w:rPr>
                <w:color w:val="000000"/>
              </w:rPr>
            </w:pPr>
          </w:p>
        </w:tc>
        <w:tc>
          <w:tcPr>
            <w:tcW w:w="2479" w:type="dxa"/>
            <w:tcBorders>
              <w:top w:val="nil"/>
              <w:left w:val="nil"/>
              <w:bottom w:val="single" w:sz="4" w:space="0" w:color="auto"/>
              <w:right w:val="nil"/>
            </w:tcBorders>
            <w:shd w:val="clear" w:color="auto" w:fill="auto"/>
            <w:vAlign w:val="center"/>
            <w:hideMark/>
          </w:tcPr>
          <w:p w14:paraId="5E424573" w14:textId="77777777" w:rsidR="00FF4608" w:rsidRPr="005641A9" w:rsidRDefault="00FF4608" w:rsidP="002272BE">
            <w:pPr>
              <w:pStyle w:val="Correspondencedetails"/>
              <w:spacing w:before="0" w:line="240" w:lineRule="auto"/>
              <w:jc w:val="both"/>
              <w:rPr>
                <w:color w:val="000000"/>
              </w:rPr>
            </w:pPr>
            <w:r w:rsidRPr="005641A9">
              <w:rPr>
                <w:color w:val="000000"/>
              </w:rPr>
              <w:t>Visual Discomfort</w:t>
            </w:r>
          </w:p>
        </w:tc>
        <w:tc>
          <w:tcPr>
            <w:tcW w:w="1338" w:type="dxa"/>
            <w:tcBorders>
              <w:top w:val="nil"/>
              <w:left w:val="nil"/>
              <w:bottom w:val="single" w:sz="4" w:space="0" w:color="auto"/>
              <w:right w:val="nil"/>
            </w:tcBorders>
            <w:shd w:val="clear" w:color="auto" w:fill="auto"/>
            <w:vAlign w:val="center"/>
            <w:hideMark/>
          </w:tcPr>
          <w:p w14:paraId="2F6F3262" w14:textId="77777777" w:rsidR="00FF4608" w:rsidRPr="005641A9" w:rsidRDefault="00FF4608" w:rsidP="00FF4608">
            <w:pPr>
              <w:pStyle w:val="Correspondencedetails"/>
              <w:spacing w:before="0" w:line="240" w:lineRule="auto"/>
              <w:jc w:val="center"/>
              <w:rPr>
                <w:color w:val="000000"/>
              </w:rPr>
            </w:pPr>
            <w:r w:rsidRPr="005641A9">
              <w:rPr>
                <w:color w:val="000000"/>
              </w:rPr>
              <w:t>35.27</w:t>
            </w:r>
          </w:p>
          <w:p w14:paraId="57EC98C4" w14:textId="77777777" w:rsidR="00FF4608" w:rsidRPr="005641A9" w:rsidRDefault="00FF4608" w:rsidP="00FF4608">
            <w:pPr>
              <w:pStyle w:val="Correspondencedetails"/>
              <w:spacing w:before="0" w:line="240" w:lineRule="auto"/>
              <w:jc w:val="center"/>
              <w:rPr>
                <w:color w:val="000000"/>
              </w:rPr>
            </w:pPr>
            <w:r w:rsidRPr="005641A9">
              <w:rPr>
                <w:color w:val="000000"/>
              </w:rPr>
              <w:t>(9.12)</w:t>
            </w:r>
          </w:p>
        </w:tc>
        <w:tc>
          <w:tcPr>
            <w:tcW w:w="1340" w:type="dxa"/>
            <w:tcBorders>
              <w:top w:val="nil"/>
              <w:left w:val="nil"/>
              <w:bottom w:val="single" w:sz="4" w:space="0" w:color="auto"/>
              <w:right w:val="nil"/>
            </w:tcBorders>
            <w:shd w:val="clear" w:color="auto" w:fill="auto"/>
            <w:vAlign w:val="center"/>
            <w:hideMark/>
          </w:tcPr>
          <w:p w14:paraId="2AAD75C4" w14:textId="77777777" w:rsidR="00FF4608" w:rsidRPr="005641A9" w:rsidRDefault="00FF4608" w:rsidP="00FF4608">
            <w:pPr>
              <w:pStyle w:val="Correspondencedetails"/>
              <w:spacing w:before="0" w:line="240" w:lineRule="auto"/>
              <w:jc w:val="center"/>
              <w:rPr>
                <w:color w:val="000000"/>
              </w:rPr>
            </w:pPr>
            <w:r w:rsidRPr="005641A9">
              <w:rPr>
                <w:color w:val="000000"/>
              </w:rPr>
              <w:t>22.29</w:t>
            </w:r>
          </w:p>
          <w:p w14:paraId="5B8B9C85" w14:textId="77777777" w:rsidR="00FF4608" w:rsidRPr="005641A9" w:rsidRDefault="00FF4608" w:rsidP="00FF4608">
            <w:pPr>
              <w:pStyle w:val="Correspondencedetails"/>
              <w:spacing w:before="0" w:line="240" w:lineRule="auto"/>
              <w:jc w:val="center"/>
              <w:rPr>
                <w:color w:val="000000"/>
              </w:rPr>
            </w:pPr>
            <w:r w:rsidRPr="005641A9">
              <w:rPr>
                <w:color w:val="000000"/>
              </w:rPr>
              <w:t>(4.5)</w:t>
            </w:r>
          </w:p>
        </w:tc>
        <w:tc>
          <w:tcPr>
            <w:tcW w:w="1338" w:type="dxa"/>
            <w:tcBorders>
              <w:top w:val="nil"/>
              <w:left w:val="nil"/>
              <w:bottom w:val="single" w:sz="4" w:space="0" w:color="auto"/>
              <w:right w:val="nil"/>
            </w:tcBorders>
            <w:shd w:val="clear" w:color="auto" w:fill="auto"/>
            <w:noWrap/>
            <w:vAlign w:val="center"/>
            <w:hideMark/>
          </w:tcPr>
          <w:p w14:paraId="16007CA0" w14:textId="77777777" w:rsidR="00FF4608" w:rsidRPr="005641A9" w:rsidRDefault="00FF4608" w:rsidP="00FF4608">
            <w:pPr>
              <w:pStyle w:val="Correspondencedetails"/>
              <w:spacing w:before="0" w:line="240" w:lineRule="auto"/>
              <w:jc w:val="center"/>
              <w:rPr>
                <w:color w:val="000000"/>
              </w:rPr>
            </w:pPr>
            <w:r w:rsidRPr="005641A9">
              <w:rPr>
                <w:color w:val="000000"/>
              </w:rPr>
              <w:t>.001**</w:t>
            </w:r>
          </w:p>
        </w:tc>
        <w:tc>
          <w:tcPr>
            <w:tcW w:w="1338" w:type="dxa"/>
            <w:tcBorders>
              <w:top w:val="nil"/>
              <w:left w:val="nil"/>
              <w:bottom w:val="single" w:sz="4" w:space="0" w:color="auto"/>
              <w:right w:val="nil"/>
            </w:tcBorders>
            <w:shd w:val="clear" w:color="auto" w:fill="auto"/>
            <w:noWrap/>
            <w:vAlign w:val="center"/>
            <w:hideMark/>
          </w:tcPr>
          <w:p w14:paraId="2BB9C597" w14:textId="77777777" w:rsidR="00FF4608" w:rsidRPr="005641A9" w:rsidRDefault="00FF4608" w:rsidP="00FF4608">
            <w:pPr>
              <w:pStyle w:val="Correspondencedetails"/>
              <w:spacing w:before="0" w:line="240" w:lineRule="auto"/>
              <w:jc w:val="center"/>
              <w:rPr>
                <w:color w:val="000000"/>
              </w:rPr>
            </w:pPr>
            <w:r w:rsidRPr="005641A9">
              <w:rPr>
                <w:color w:val="000000"/>
              </w:rPr>
              <w:t>1.81</w:t>
            </w:r>
          </w:p>
        </w:tc>
      </w:tr>
      <w:tr w:rsidR="00FF4608" w:rsidRPr="005641A9" w14:paraId="608539FB" w14:textId="77777777" w:rsidTr="00FF4608">
        <w:trPr>
          <w:trHeight w:val="567"/>
        </w:trPr>
        <w:tc>
          <w:tcPr>
            <w:tcW w:w="1005" w:type="dxa"/>
            <w:vMerge w:val="restart"/>
            <w:tcBorders>
              <w:top w:val="single" w:sz="4" w:space="0" w:color="auto"/>
              <w:left w:val="nil"/>
              <w:bottom w:val="nil"/>
              <w:right w:val="nil"/>
            </w:tcBorders>
            <w:shd w:val="clear" w:color="auto" w:fill="auto"/>
            <w:noWrap/>
            <w:vAlign w:val="center"/>
            <w:hideMark/>
          </w:tcPr>
          <w:p w14:paraId="3096274C" w14:textId="77777777" w:rsidR="00FF4608" w:rsidRPr="005641A9" w:rsidRDefault="00FF4608" w:rsidP="002272BE">
            <w:pPr>
              <w:pStyle w:val="Correspondencedetails"/>
              <w:spacing w:before="0" w:line="240" w:lineRule="auto"/>
              <w:jc w:val="both"/>
              <w:rPr>
                <w:color w:val="000000"/>
              </w:rPr>
            </w:pPr>
            <w:r w:rsidRPr="005641A9">
              <w:t>2</w:t>
            </w:r>
          </w:p>
        </w:tc>
        <w:tc>
          <w:tcPr>
            <w:tcW w:w="2479" w:type="dxa"/>
            <w:tcBorders>
              <w:top w:val="single" w:sz="4" w:space="0" w:color="auto"/>
              <w:left w:val="nil"/>
              <w:bottom w:val="nil"/>
              <w:right w:val="nil"/>
            </w:tcBorders>
            <w:shd w:val="clear" w:color="auto" w:fill="auto"/>
            <w:vAlign w:val="center"/>
            <w:hideMark/>
          </w:tcPr>
          <w:p w14:paraId="0B6E4C0E" w14:textId="77777777" w:rsidR="00FF4608" w:rsidRPr="005641A9" w:rsidRDefault="00FF4608" w:rsidP="002272BE">
            <w:pPr>
              <w:pStyle w:val="Correspondencedetails"/>
              <w:spacing w:before="0" w:line="240" w:lineRule="auto"/>
              <w:jc w:val="both"/>
              <w:rPr>
                <w:color w:val="000000"/>
              </w:rPr>
            </w:pPr>
            <w:r w:rsidRPr="005641A9">
              <w:rPr>
                <w:color w:val="000000"/>
              </w:rPr>
              <w:t>Alterations in Cube A</w:t>
            </w:r>
          </w:p>
        </w:tc>
        <w:tc>
          <w:tcPr>
            <w:tcW w:w="1338" w:type="dxa"/>
            <w:tcBorders>
              <w:top w:val="single" w:sz="4" w:space="0" w:color="auto"/>
              <w:left w:val="nil"/>
              <w:bottom w:val="nil"/>
              <w:right w:val="nil"/>
            </w:tcBorders>
            <w:shd w:val="clear" w:color="auto" w:fill="auto"/>
            <w:vAlign w:val="center"/>
            <w:hideMark/>
          </w:tcPr>
          <w:p w14:paraId="21686677" w14:textId="77777777" w:rsidR="00FF4608" w:rsidRPr="005641A9" w:rsidRDefault="00FF4608" w:rsidP="00FF4608">
            <w:pPr>
              <w:pStyle w:val="Correspondencedetails"/>
              <w:spacing w:before="0" w:line="240" w:lineRule="auto"/>
              <w:jc w:val="center"/>
              <w:rPr>
                <w:color w:val="000000"/>
              </w:rPr>
            </w:pPr>
            <w:r w:rsidRPr="005641A9">
              <w:rPr>
                <w:color w:val="000000"/>
              </w:rPr>
              <w:t>7.29</w:t>
            </w:r>
          </w:p>
          <w:p w14:paraId="3D2FB19B" w14:textId="77777777" w:rsidR="00FF4608" w:rsidRPr="005641A9" w:rsidRDefault="00FF4608" w:rsidP="00FF4608">
            <w:pPr>
              <w:pStyle w:val="Correspondencedetails"/>
              <w:spacing w:before="0" w:line="240" w:lineRule="auto"/>
              <w:jc w:val="center"/>
              <w:rPr>
                <w:color w:val="000000"/>
              </w:rPr>
            </w:pPr>
            <w:r w:rsidRPr="005641A9">
              <w:rPr>
                <w:color w:val="000000"/>
              </w:rPr>
              <w:t>(4.17)</w:t>
            </w:r>
          </w:p>
        </w:tc>
        <w:tc>
          <w:tcPr>
            <w:tcW w:w="1340" w:type="dxa"/>
            <w:tcBorders>
              <w:top w:val="single" w:sz="4" w:space="0" w:color="auto"/>
              <w:left w:val="nil"/>
              <w:bottom w:val="nil"/>
              <w:right w:val="nil"/>
            </w:tcBorders>
            <w:shd w:val="clear" w:color="auto" w:fill="auto"/>
            <w:vAlign w:val="center"/>
            <w:hideMark/>
          </w:tcPr>
          <w:p w14:paraId="69BD60FF" w14:textId="77777777" w:rsidR="00FF4608" w:rsidRPr="005641A9" w:rsidRDefault="00FF4608" w:rsidP="00FF4608">
            <w:pPr>
              <w:pStyle w:val="Correspondencedetails"/>
              <w:spacing w:before="0" w:line="240" w:lineRule="auto"/>
              <w:jc w:val="center"/>
              <w:rPr>
                <w:color w:val="000000"/>
              </w:rPr>
            </w:pPr>
            <w:r w:rsidRPr="005641A9">
              <w:rPr>
                <w:color w:val="000000"/>
              </w:rPr>
              <w:t>2.55</w:t>
            </w:r>
          </w:p>
          <w:p w14:paraId="213F00BD" w14:textId="77777777" w:rsidR="00FF4608" w:rsidRPr="005641A9" w:rsidRDefault="00FF4608" w:rsidP="00FF4608">
            <w:pPr>
              <w:pStyle w:val="Correspondencedetails"/>
              <w:spacing w:before="0" w:line="240" w:lineRule="auto"/>
              <w:jc w:val="center"/>
              <w:rPr>
                <w:color w:val="000000"/>
              </w:rPr>
            </w:pPr>
            <w:r w:rsidRPr="005641A9">
              <w:rPr>
                <w:color w:val="000000"/>
              </w:rPr>
              <w:t>(2.4)</w:t>
            </w:r>
          </w:p>
        </w:tc>
        <w:tc>
          <w:tcPr>
            <w:tcW w:w="1338" w:type="dxa"/>
            <w:tcBorders>
              <w:top w:val="single" w:sz="4" w:space="0" w:color="auto"/>
              <w:left w:val="nil"/>
              <w:bottom w:val="nil"/>
              <w:right w:val="nil"/>
            </w:tcBorders>
            <w:shd w:val="clear" w:color="auto" w:fill="auto"/>
            <w:noWrap/>
            <w:vAlign w:val="center"/>
            <w:hideMark/>
          </w:tcPr>
          <w:p w14:paraId="090C0DEF" w14:textId="77777777" w:rsidR="00FF4608" w:rsidRPr="005641A9" w:rsidRDefault="00FF4608" w:rsidP="00FF4608">
            <w:pPr>
              <w:pStyle w:val="Correspondencedetails"/>
              <w:spacing w:before="0" w:line="240" w:lineRule="auto"/>
              <w:jc w:val="center"/>
              <w:rPr>
                <w:color w:val="000000"/>
              </w:rPr>
            </w:pPr>
            <w:r w:rsidRPr="005641A9">
              <w:rPr>
                <w:color w:val="000000"/>
              </w:rPr>
              <w:t>.001**</w:t>
            </w:r>
          </w:p>
        </w:tc>
        <w:tc>
          <w:tcPr>
            <w:tcW w:w="1338" w:type="dxa"/>
            <w:tcBorders>
              <w:top w:val="single" w:sz="4" w:space="0" w:color="auto"/>
              <w:left w:val="nil"/>
              <w:bottom w:val="nil"/>
              <w:right w:val="nil"/>
            </w:tcBorders>
            <w:shd w:val="clear" w:color="auto" w:fill="auto"/>
            <w:noWrap/>
            <w:vAlign w:val="center"/>
            <w:hideMark/>
          </w:tcPr>
          <w:p w14:paraId="2E7F30F0" w14:textId="77777777" w:rsidR="00FF4608" w:rsidRPr="005641A9" w:rsidRDefault="00FF4608" w:rsidP="00FF4608">
            <w:pPr>
              <w:pStyle w:val="Correspondencedetails"/>
              <w:spacing w:before="0" w:line="240" w:lineRule="auto"/>
              <w:jc w:val="center"/>
              <w:rPr>
                <w:color w:val="000000"/>
              </w:rPr>
            </w:pPr>
            <w:r w:rsidRPr="005641A9">
              <w:rPr>
                <w:color w:val="000000"/>
              </w:rPr>
              <w:t>1.39</w:t>
            </w:r>
          </w:p>
        </w:tc>
      </w:tr>
      <w:tr w:rsidR="00FF4608" w:rsidRPr="005641A9" w14:paraId="5DB7E8B5" w14:textId="77777777" w:rsidTr="00FF4608">
        <w:trPr>
          <w:trHeight w:val="450"/>
        </w:trPr>
        <w:tc>
          <w:tcPr>
            <w:tcW w:w="1005" w:type="dxa"/>
            <w:vMerge/>
            <w:vAlign w:val="center"/>
            <w:hideMark/>
          </w:tcPr>
          <w:p w14:paraId="720E475E" w14:textId="77777777" w:rsidR="00FF4608" w:rsidRPr="005641A9" w:rsidRDefault="00FF4608" w:rsidP="002272BE">
            <w:pPr>
              <w:pStyle w:val="Correspondencedetails"/>
              <w:spacing w:before="0" w:line="240" w:lineRule="auto"/>
              <w:jc w:val="both"/>
              <w:rPr>
                <w:color w:val="000000"/>
              </w:rPr>
            </w:pPr>
          </w:p>
        </w:tc>
        <w:tc>
          <w:tcPr>
            <w:tcW w:w="2479" w:type="dxa"/>
            <w:tcBorders>
              <w:top w:val="nil"/>
              <w:left w:val="nil"/>
              <w:bottom w:val="nil"/>
              <w:right w:val="nil"/>
            </w:tcBorders>
            <w:shd w:val="clear" w:color="auto" w:fill="auto"/>
            <w:vAlign w:val="center"/>
            <w:hideMark/>
          </w:tcPr>
          <w:p w14:paraId="28D4E4A6" w14:textId="77777777" w:rsidR="00FF4608" w:rsidRPr="005641A9" w:rsidRDefault="00FF4608" w:rsidP="002272BE">
            <w:pPr>
              <w:pStyle w:val="Correspondencedetails"/>
              <w:spacing w:before="0" w:line="240" w:lineRule="auto"/>
              <w:jc w:val="both"/>
              <w:rPr>
                <w:color w:val="000000"/>
              </w:rPr>
            </w:pPr>
            <w:r w:rsidRPr="005641A9">
              <w:rPr>
                <w:color w:val="000000"/>
              </w:rPr>
              <w:t>Alterations in Cube B</w:t>
            </w:r>
          </w:p>
        </w:tc>
        <w:tc>
          <w:tcPr>
            <w:tcW w:w="1338" w:type="dxa"/>
            <w:tcBorders>
              <w:top w:val="nil"/>
              <w:left w:val="nil"/>
              <w:bottom w:val="nil"/>
              <w:right w:val="nil"/>
            </w:tcBorders>
            <w:shd w:val="clear" w:color="auto" w:fill="auto"/>
            <w:vAlign w:val="center"/>
            <w:hideMark/>
          </w:tcPr>
          <w:p w14:paraId="0A5485C1" w14:textId="77777777" w:rsidR="00FF4608" w:rsidRPr="005641A9" w:rsidRDefault="00FF4608" w:rsidP="00FF4608">
            <w:pPr>
              <w:pStyle w:val="Correspondencedetails"/>
              <w:spacing w:before="0" w:line="240" w:lineRule="auto"/>
              <w:jc w:val="center"/>
              <w:rPr>
                <w:color w:val="000000"/>
              </w:rPr>
            </w:pPr>
            <w:r w:rsidRPr="005641A9">
              <w:rPr>
                <w:color w:val="000000"/>
              </w:rPr>
              <w:t>9.25</w:t>
            </w:r>
          </w:p>
          <w:p w14:paraId="679C0198" w14:textId="77777777" w:rsidR="00FF4608" w:rsidRPr="005641A9" w:rsidRDefault="00FF4608" w:rsidP="00FF4608">
            <w:pPr>
              <w:pStyle w:val="Correspondencedetails"/>
              <w:spacing w:before="0" w:line="240" w:lineRule="auto"/>
              <w:jc w:val="center"/>
              <w:rPr>
                <w:color w:val="000000"/>
              </w:rPr>
            </w:pPr>
            <w:r w:rsidRPr="005641A9">
              <w:rPr>
                <w:color w:val="000000"/>
              </w:rPr>
              <w:t>(3.81)</w:t>
            </w:r>
          </w:p>
        </w:tc>
        <w:tc>
          <w:tcPr>
            <w:tcW w:w="1340" w:type="dxa"/>
            <w:tcBorders>
              <w:top w:val="nil"/>
              <w:left w:val="nil"/>
              <w:bottom w:val="nil"/>
              <w:right w:val="nil"/>
            </w:tcBorders>
            <w:shd w:val="clear" w:color="auto" w:fill="auto"/>
            <w:vAlign w:val="center"/>
            <w:hideMark/>
          </w:tcPr>
          <w:p w14:paraId="66F6252B" w14:textId="77777777" w:rsidR="00FF4608" w:rsidRPr="005641A9" w:rsidRDefault="00FF4608" w:rsidP="00FF4608">
            <w:pPr>
              <w:pStyle w:val="Correspondencedetails"/>
              <w:spacing w:before="0" w:line="240" w:lineRule="auto"/>
              <w:jc w:val="center"/>
              <w:rPr>
                <w:color w:val="000000"/>
              </w:rPr>
            </w:pPr>
            <w:r w:rsidRPr="005641A9">
              <w:rPr>
                <w:color w:val="000000"/>
              </w:rPr>
              <w:t>4.07</w:t>
            </w:r>
          </w:p>
          <w:p w14:paraId="0BFCD39E" w14:textId="77777777" w:rsidR="00FF4608" w:rsidRPr="005641A9" w:rsidRDefault="00FF4608" w:rsidP="00FF4608">
            <w:pPr>
              <w:pStyle w:val="Correspondencedetails"/>
              <w:spacing w:before="0" w:line="240" w:lineRule="auto"/>
              <w:jc w:val="center"/>
              <w:rPr>
                <w:color w:val="000000"/>
              </w:rPr>
            </w:pPr>
            <w:r w:rsidRPr="005641A9">
              <w:rPr>
                <w:color w:val="000000"/>
              </w:rPr>
              <w:t>(2.79)</w:t>
            </w:r>
          </w:p>
        </w:tc>
        <w:tc>
          <w:tcPr>
            <w:tcW w:w="1338" w:type="dxa"/>
            <w:tcBorders>
              <w:top w:val="nil"/>
              <w:left w:val="nil"/>
              <w:bottom w:val="nil"/>
              <w:right w:val="nil"/>
            </w:tcBorders>
            <w:shd w:val="clear" w:color="auto" w:fill="auto"/>
            <w:noWrap/>
            <w:vAlign w:val="center"/>
            <w:hideMark/>
          </w:tcPr>
          <w:p w14:paraId="7D4F0493" w14:textId="77777777" w:rsidR="00FF4608" w:rsidRPr="005641A9" w:rsidRDefault="00FF4608" w:rsidP="00FF4608">
            <w:pPr>
              <w:pStyle w:val="Correspondencedetails"/>
              <w:spacing w:before="0" w:line="240" w:lineRule="auto"/>
              <w:jc w:val="center"/>
              <w:rPr>
                <w:color w:val="000000"/>
              </w:rPr>
            </w:pPr>
            <w:r w:rsidRPr="005641A9">
              <w:rPr>
                <w:color w:val="000000"/>
              </w:rPr>
              <w:t>.001**</w:t>
            </w:r>
          </w:p>
        </w:tc>
        <w:tc>
          <w:tcPr>
            <w:tcW w:w="1338" w:type="dxa"/>
            <w:tcBorders>
              <w:top w:val="nil"/>
              <w:left w:val="nil"/>
              <w:bottom w:val="nil"/>
              <w:right w:val="nil"/>
            </w:tcBorders>
            <w:shd w:val="clear" w:color="auto" w:fill="auto"/>
            <w:noWrap/>
            <w:vAlign w:val="center"/>
            <w:hideMark/>
          </w:tcPr>
          <w:p w14:paraId="5B6F73BC" w14:textId="77777777" w:rsidR="00FF4608" w:rsidRPr="005641A9" w:rsidRDefault="00FF4608" w:rsidP="00FF4608">
            <w:pPr>
              <w:pStyle w:val="Correspondencedetails"/>
              <w:spacing w:before="0" w:line="240" w:lineRule="auto"/>
              <w:jc w:val="center"/>
              <w:rPr>
                <w:color w:val="000000"/>
              </w:rPr>
            </w:pPr>
            <w:r w:rsidRPr="005641A9">
              <w:rPr>
                <w:color w:val="000000"/>
              </w:rPr>
              <w:t>1.55</w:t>
            </w:r>
          </w:p>
        </w:tc>
      </w:tr>
      <w:tr w:rsidR="00FF4608" w:rsidRPr="005641A9" w14:paraId="6C02C9A6" w14:textId="77777777" w:rsidTr="00FF4608">
        <w:trPr>
          <w:trHeight w:val="450"/>
        </w:trPr>
        <w:tc>
          <w:tcPr>
            <w:tcW w:w="1005" w:type="dxa"/>
            <w:vMerge/>
            <w:vAlign w:val="center"/>
            <w:hideMark/>
          </w:tcPr>
          <w:p w14:paraId="736759CB" w14:textId="77777777" w:rsidR="00FF4608" w:rsidRPr="005641A9" w:rsidRDefault="00FF4608" w:rsidP="002272BE">
            <w:pPr>
              <w:pStyle w:val="Correspondencedetails"/>
              <w:spacing w:before="0" w:line="240" w:lineRule="auto"/>
              <w:jc w:val="both"/>
              <w:rPr>
                <w:color w:val="000000"/>
              </w:rPr>
            </w:pPr>
          </w:p>
        </w:tc>
        <w:tc>
          <w:tcPr>
            <w:tcW w:w="2479" w:type="dxa"/>
            <w:tcBorders>
              <w:top w:val="nil"/>
              <w:left w:val="nil"/>
              <w:bottom w:val="single" w:sz="4" w:space="0" w:color="auto"/>
              <w:right w:val="nil"/>
            </w:tcBorders>
            <w:shd w:val="clear" w:color="auto" w:fill="auto"/>
            <w:vAlign w:val="center"/>
            <w:hideMark/>
          </w:tcPr>
          <w:p w14:paraId="5EECAC1E" w14:textId="77777777" w:rsidR="00FF4608" w:rsidRPr="005641A9" w:rsidRDefault="00FF4608" w:rsidP="002272BE">
            <w:pPr>
              <w:pStyle w:val="Correspondencedetails"/>
              <w:spacing w:before="0" w:line="240" w:lineRule="auto"/>
              <w:jc w:val="both"/>
              <w:rPr>
                <w:color w:val="000000"/>
              </w:rPr>
            </w:pPr>
            <w:r w:rsidRPr="005641A9">
              <w:t>Alterations in Pumpkin</w:t>
            </w:r>
          </w:p>
        </w:tc>
        <w:tc>
          <w:tcPr>
            <w:tcW w:w="1338" w:type="dxa"/>
            <w:tcBorders>
              <w:top w:val="nil"/>
              <w:left w:val="nil"/>
              <w:bottom w:val="single" w:sz="4" w:space="0" w:color="auto"/>
              <w:right w:val="nil"/>
            </w:tcBorders>
            <w:shd w:val="clear" w:color="auto" w:fill="auto"/>
            <w:vAlign w:val="center"/>
            <w:hideMark/>
          </w:tcPr>
          <w:p w14:paraId="3893DFFA" w14:textId="77777777" w:rsidR="00FF4608" w:rsidRPr="005641A9" w:rsidRDefault="00FF4608" w:rsidP="00FF4608">
            <w:pPr>
              <w:pStyle w:val="Correspondencedetails"/>
              <w:spacing w:before="0" w:line="240" w:lineRule="auto"/>
              <w:jc w:val="center"/>
              <w:rPr>
                <w:color w:val="000000"/>
              </w:rPr>
            </w:pPr>
            <w:r w:rsidRPr="005641A9">
              <w:rPr>
                <w:color w:val="000000"/>
              </w:rPr>
              <w:t>8.49</w:t>
            </w:r>
          </w:p>
          <w:p w14:paraId="1C0454F0" w14:textId="77777777" w:rsidR="00FF4608" w:rsidRPr="005641A9" w:rsidRDefault="00FF4608" w:rsidP="00FF4608">
            <w:pPr>
              <w:pStyle w:val="Correspondencedetails"/>
              <w:spacing w:before="0" w:line="240" w:lineRule="auto"/>
              <w:jc w:val="center"/>
              <w:rPr>
                <w:color w:val="000000"/>
              </w:rPr>
            </w:pPr>
            <w:r w:rsidRPr="005641A9">
              <w:rPr>
                <w:color w:val="000000"/>
              </w:rPr>
              <w:t>(4.29)</w:t>
            </w:r>
          </w:p>
        </w:tc>
        <w:tc>
          <w:tcPr>
            <w:tcW w:w="1340" w:type="dxa"/>
            <w:tcBorders>
              <w:top w:val="nil"/>
              <w:left w:val="nil"/>
              <w:bottom w:val="single" w:sz="4" w:space="0" w:color="auto"/>
              <w:right w:val="nil"/>
            </w:tcBorders>
            <w:shd w:val="clear" w:color="auto" w:fill="auto"/>
            <w:vAlign w:val="center"/>
            <w:hideMark/>
          </w:tcPr>
          <w:p w14:paraId="6D3B29DE" w14:textId="77777777" w:rsidR="00FF4608" w:rsidRPr="005641A9" w:rsidRDefault="00FF4608" w:rsidP="00FF4608">
            <w:pPr>
              <w:pStyle w:val="Correspondencedetails"/>
              <w:spacing w:before="0" w:line="240" w:lineRule="auto"/>
              <w:jc w:val="center"/>
              <w:rPr>
                <w:color w:val="000000"/>
              </w:rPr>
            </w:pPr>
            <w:r w:rsidRPr="005641A9">
              <w:rPr>
                <w:color w:val="000000"/>
              </w:rPr>
              <w:t>2.87</w:t>
            </w:r>
          </w:p>
          <w:p w14:paraId="11C209B6" w14:textId="77777777" w:rsidR="00FF4608" w:rsidRPr="005641A9" w:rsidRDefault="00FF4608" w:rsidP="00FF4608">
            <w:pPr>
              <w:pStyle w:val="Correspondencedetails"/>
              <w:spacing w:before="0" w:line="240" w:lineRule="auto"/>
              <w:jc w:val="center"/>
              <w:rPr>
                <w:color w:val="000000"/>
              </w:rPr>
            </w:pPr>
            <w:r w:rsidRPr="005641A9">
              <w:rPr>
                <w:color w:val="000000"/>
              </w:rPr>
              <w:t>(3.04)</w:t>
            </w:r>
          </w:p>
        </w:tc>
        <w:tc>
          <w:tcPr>
            <w:tcW w:w="1338" w:type="dxa"/>
            <w:tcBorders>
              <w:top w:val="nil"/>
              <w:left w:val="nil"/>
              <w:bottom w:val="single" w:sz="4" w:space="0" w:color="auto"/>
              <w:right w:val="nil"/>
            </w:tcBorders>
            <w:shd w:val="clear" w:color="auto" w:fill="auto"/>
            <w:noWrap/>
            <w:vAlign w:val="center"/>
            <w:hideMark/>
          </w:tcPr>
          <w:p w14:paraId="5BFB397F" w14:textId="77777777" w:rsidR="00FF4608" w:rsidRPr="005641A9" w:rsidRDefault="00FF4608" w:rsidP="00FF4608">
            <w:pPr>
              <w:pStyle w:val="Correspondencedetails"/>
              <w:spacing w:before="0" w:line="240" w:lineRule="auto"/>
              <w:jc w:val="center"/>
              <w:rPr>
                <w:color w:val="000000"/>
              </w:rPr>
            </w:pPr>
            <w:r w:rsidRPr="005641A9">
              <w:rPr>
                <w:color w:val="000000"/>
              </w:rPr>
              <w:t>.001**</w:t>
            </w:r>
          </w:p>
        </w:tc>
        <w:tc>
          <w:tcPr>
            <w:tcW w:w="1338" w:type="dxa"/>
            <w:tcBorders>
              <w:top w:val="nil"/>
              <w:left w:val="nil"/>
              <w:bottom w:val="single" w:sz="4" w:space="0" w:color="auto"/>
              <w:right w:val="nil"/>
            </w:tcBorders>
            <w:shd w:val="clear" w:color="auto" w:fill="auto"/>
            <w:noWrap/>
            <w:vAlign w:val="center"/>
            <w:hideMark/>
          </w:tcPr>
          <w:p w14:paraId="4FD9A7AF" w14:textId="77777777" w:rsidR="00FF4608" w:rsidRPr="005641A9" w:rsidRDefault="00FF4608" w:rsidP="00FF4608">
            <w:pPr>
              <w:pStyle w:val="Correspondencedetails"/>
              <w:spacing w:before="0" w:line="240" w:lineRule="auto"/>
              <w:jc w:val="center"/>
              <w:rPr>
                <w:color w:val="000000"/>
              </w:rPr>
            </w:pPr>
            <w:r w:rsidRPr="005641A9">
              <w:rPr>
                <w:color w:val="000000"/>
              </w:rPr>
              <w:t>1.51</w:t>
            </w:r>
          </w:p>
        </w:tc>
      </w:tr>
      <w:tr w:rsidR="00FF4608" w:rsidRPr="005641A9" w14:paraId="6AE85BB3" w14:textId="77777777" w:rsidTr="00FF4608">
        <w:trPr>
          <w:trHeight w:val="300"/>
        </w:trPr>
        <w:tc>
          <w:tcPr>
            <w:tcW w:w="8838" w:type="dxa"/>
            <w:gridSpan w:val="6"/>
            <w:tcBorders>
              <w:top w:val="single" w:sz="4" w:space="0" w:color="auto"/>
              <w:left w:val="nil"/>
              <w:bottom w:val="nil"/>
              <w:right w:val="nil"/>
            </w:tcBorders>
            <w:shd w:val="clear" w:color="auto" w:fill="auto"/>
            <w:noWrap/>
            <w:vAlign w:val="center"/>
            <w:hideMark/>
          </w:tcPr>
          <w:p w14:paraId="41FEE6C8" w14:textId="77777777" w:rsidR="00FF4608" w:rsidRPr="005641A9" w:rsidRDefault="00FF4608" w:rsidP="00FF4608">
            <w:pPr>
              <w:pStyle w:val="Correspondencedetails"/>
              <w:spacing w:before="0" w:line="240" w:lineRule="auto"/>
              <w:rPr>
                <w:color w:val="000000"/>
              </w:rPr>
            </w:pPr>
            <w:r w:rsidRPr="005641A9">
              <w:rPr>
                <w:color w:val="000000"/>
              </w:rPr>
              <w:t>*</w:t>
            </w:r>
            <w:r w:rsidRPr="005641A9">
              <w:rPr>
                <w:i/>
                <w:iCs/>
                <w:color w:val="000000"/>
              </w:rPr>
              <w:t xml:space="preserve">p </w:t>
            </w:r>
            <w:r w:rsidRPr="005641A9">
              <w:rPr>
                <w:color w:val="000000"/>
              </w:rPr>
              <w:t>&lt; .05; **</w:t>
            </w:r>
            <w:r w:rsidRPr="005641A9">
              <w:rPr>
                <w:i/>
                <w:iCs/>
                <w:color w:val="000000"/>
              </w:rPr>
              <w:t>p</w:t>
            </w:r>
            <w:r w:rsidRPr="005641A9">
              <w:rPr>
                <w:color w:val="000000"/>
              </w:rPr>
              <w:t xml:space="preserve"> &lt; .001</w:t>
            </w:r>
          </w:p>
        </w:tc>
      </w:tr>
    </w:tbl>
    <w:p w14:paraId="51066AF8" w14:textId="77777777" w:rsidR="00FF4608" w:rsidRPr="005641A9" w:rsidRDefault="00FF4608" w:rsidP="002E1E22">
      <w:pPr>
        <w:spacing w:line="240" w:lineRule="auto"/>
        <w:ind w:firstLine="0"/>
        <w:jc w:val="both"/>
        <w:rPr>
          <w:b/>
          <w:bCs/>
          <w:i/>
          <w:iCs/>
          <w:szCs w:val="24"/>
          <w:lang w:val="en-GB"/>
        </w:rPr>
      </w:pPr>
    </w:p>
    <w:p w14:paraId="1CF8F5FD" w14:textId="23850452" w:rsidR="004E6312" w:rsidRPr="005641A9" w:rsidRDefault="001A0887" w:rsidP="002E1E22">
      <w:pPr>
        <w:spacing w:line="240" w:lineRule="auto"/>
        <w:ind w:firstLine="708"/>
        <w:jc w:val="both"/>
        <w:rPr>
          <w:szCs w:val="24"/>
          <w:lang w:val="en-GB"/>
        </w:rPr>
      </w:pPr>
      <w:bookmarkStart w:id="12" w:name="_Toc36593226"/>
      <w:bookmarkStart w:id="13" w:name="_Toc40025293"/>
      <w:bookmarkStart w:id="14" w:name="_Toc42904641"/>
      <w:r w:rsidRPr="005641A9">
        <w:rPr>
          <w:szCs w:val="24"/>
          <w:lang w:val="en-GB"/>
        </w:rPr>
        <w:t xml:space="preserve">According to </w:t>
      </w:r>
      <w:r w:rsidRPr="005641A9">
        <w:rPr>
          <w:i/>
          <w:iCs/>
          <w:szCs w:val="24"/>
          <w:lang w:val="en-GB"/>
        </w:rPr>
        <w:t>PROLEC-R Test</w:t>
      </w:r>
      <w:r w:rsidRPr="005641A9">
        <w:rPr>
          <w:szCs w:val="24"/>
          <w:lang w:val="en-GB"/>
        </w:rPr>
        <w:t xml:space="preserve"> and in agreement with the first hypothesis on the identification of letters, the results showed that there were no significant differences between groups, as seen in </w:t>
      </w:r>
      <w:r w:rsidR="00FF4608" w:rsidRPr="005641A9">
        <w:rPr>
          <w:szCs w:val="24"/>
          <w:lang w:val="en-GB"/>
        </w:rPr>
        <w:t>t</w:t>
      </w:r>
      <w:r w:rsidRPr="005641A9">
        <w:rPr>
          <w:szCs w:val="24"/>
          <w:lang w:val="en-GB"/>
        </w:rPr>
        <w:t xml:space="preserve">able 2. </w:t>
      </w:r>
    </w:p>
    <w:p w14:paraId="39A5B96D" w14:textId="77777777" w:rsidR="004E6312" w:rsidRPr="005641A9" w:rsidRDefault="004E6312" w:rsidP="002E1E22">
      <w:pPr>
        <w:spacing w:line="240" w:lineRule="auto"/>
        <w:ind w:firstLine="708"/>
        <w:jc w:val="both"/>
        <w:rPr>
          <w:szCs w:val="24"/>
          <w:lang w:val="en-GB"/>
        </w:rPr>
      </w:pPr>
      <w:r w:rsidRPr="005641A9">
        <w:rPr>
          <w:szCs w:val="24"/>
          <w:lang w:val="en-GB"/>
        </w:rPr>
        <w:t>Regarding lexical processes, the data indicated significant moderate differences between groups in both the word reading task (</w:t>
      </w:r>
      <w:r w:rsidRPr="005641A9">
        <w:rPr>
          <w:i/>
          <w:iCs/>
          <w:szCs w:val="24"/>
          <w:lang w:val="en-GB"/>
        </w:rPr>
        <w:t>p</w:t>
      </w:r>
      <w:r w:rsidRPr="005641A9">
        <w:rPr>
          <w:szCs w:val="24"/>
          <w:lang w:val="en-GB"/>
        </w:rPr>
        <w:t xml:space="preserve"> = 0.019; </w:t>
      </w:r>
      <w:r w:rsidRPr="005641A9">
        <w:rPr>
          <w:i/>
          <w:iCs/>
          <w:szCs w:val="24"/>
          <w:lang w:val="en-GB"/>
        </w:rPr>
        <w:t>d</w:t>
      </w:r>
      <w:r w:rsidRPr="005641A9">
        <w:rPr>
          <w:szCs w:val="24"/>
          <w:lang w:val="en-GB"/>
        </w:rPr>
        <w:t xml:space="preserve"> = 0.57) and the pseudoword reading task (</w:t>
      </w:r>
      <w:r w:rsidRPr="005641A9">
        <w:rPr>
          <w:i/>
          <w:iCs/>
          <w:szCs w:val="24"/>
          <w:lang w:val="en-GB"/>
        </w:rPr>
        <w:t>p</w:t>
      </w:r>
      <w:r w:rsidRPr="005641A9">
        <w:rPr>
          <w:szCs w:val="24"/>
          <w:lang w:val="en-GB"/>
        </w:rPr>
        <w:t xml:space="preserve"> = 0.005; </w:t>
      </w:r>
      <w:r w:rsidRPr="005641A9">
        <w:rPr>
          <w:i/>
          <w:iCs/>
          <w:szCs w:val="24"/>
          <w:lang w:val="en-GB"/>
        </w:rPr>
        <w:t>d</w:t>
      </w:r>
      <w:r w:rsidRPr="005641A9">
        <w:rPr>
          <w:szCs w:val="24"/>
          <w:lang w:val="en-GB"/>
        </w:rPr>
        <w:t xml:space="preserve"> = 0.57), confirming the second hypothesis of this study. </w:t>
      </w:r>
      <w:r w:rsidRPr="005641A9">
        <w:rPr>
          <w:i/>
          <w:iCs/>
          <w:szCs w:val="24"/>
          <w:lang w:val="en-GB"/>
        </w:rPr>
        <w:t>Post hoc</w:t>
      </w:r>
      <w:r w:rsidRPr="005641A9">
        <w:rPr>
          <w:szCs w:val="24"/>
          <w:lang w:val="en-GB"/>
        </w:rPr>
        <w:t xml:space="preserve"> analysis indicated that the ISG performed worse than the CG in both tasks.</w:t>
      </w:r>
    </w:p>
    <w:p w14:paraId="1C9B6082" w14:textId="77777777" w:rsidR="00FF4608" w:rsidRPr="005641A9" w:rsidRDefault="00FF4608" w:rsidP="002E1E22">
      <w:pPr>
        <w:spacing w:line="240" w:lineRule="auto"/>
        <w:ind w:firstLine="708"/>
        <w:jc w:val="both"/>
        <w:rPr>
          <w:szCs w:val="24"/>
          <w:lang w:val="en-GB"/>
        </w:rPr>
      </w:pPr>
    </w:p>
    <w:p w14:paraId="0C31ECCF" w14:textId="0DE6C4A1" w:rsidR="00FF4608" w:rsidRPr="005641A9" w:rsidRDefault="00FF4608" w:rsidP="00FF4608">
      <w:pPr>
        <w:spacing w:line="240" w:lineRule="auto"/>
        <w:ind w:firstLine="0"/>
        <w:jc w:val="both"/>
        <w:rPr>
          <w:szCs w:val="24"/>
          <w:lang w:val="en-GB"/>
        </w:rPr>
      </w:pPr>
      <w:r w:rsidRPr="005641A9">
        <w:rPr>
          <w:b/>
          <w:bCs/>
          <w:szCs w:val="24"/>
          <w:lang w:val="en-GB"/>
        </w:rPr>
        <w:t>Table 2</w:t>
      </w:r>
    </w:p>
    <w:p w14:paraId="35124499" w14:textId="1898FAD4" w:rsidR="00FF4608" w:rsidRPr="005641A9" w:rsidRDefault="00FF4608" w:rsidP="00FF4608">
      <w:pPr>
        <w:spacing w:line="240" w:lineRule="auto"/>
        <w:ind w:firstLine="0"/>
        <w:jc w:val="both"/>
        <w:rPr>
          <w:i/>
          <w:iCs/>
          <w:szCs w:val="24"/>
          <w:lang w:val="en-GB"/>
        </w:rPr>
      </w:pPr>
      <w:r w:rsidRPr="005641A9">
        <w:rPr>
          <w:i/>
          <w:iCs/>
          <w:szCs w:val="24"/>
          <w:lang w:val="en-GB"/>
        </w:rPr>
        <w:t>Means (and SD) in the scores of the nine PROLEC- R tasks in the Irlen syndrome group (ISG) and the control group No Irlen (CG)</w:t>
      </w:r>
    </w:p>
    <w:tbl>
      <w:tblPr>
        <w:tblW w:w="5000" w:type="pct"/>
        <w:tblCellMar>
          <w:left w:w="70" w:type="dxa"/>
          <w:right w:w="70" w:type="dxa"/>
        </w:tblCellMar>
        <w:tblLook w:val="04A0" w:firstRow="1" w:lastRow="0" w:firstColumn="1" w:lastColumn="0" w:noHBand="0" w:noVBand="1"/>
      </w:tblPr>
      <w:tblGrid>
        <w:gridCol w:w="2409"/>
        <w:gridCol w:w="2801"/>
        <w:gridCol w:w="1037"/>
        <w:gridCol w:w="1037"/>
        <w:gridCol w:w="1037"/>
        <w:gridCol w:w="1039"/>
      </w:tblGrid>
      <w:tr w:rsidR="00FF4608" w:rsidRPr="005641A9" w14:paraId="246C0394" w14:textId="77777777" w:rsidTr="00FF4608">
        <w:trPr>
          <w:trHeight w:val="79"/>
        </w:trPr>
        <w:tc>
          <w:tcPr>
            <w:tcW w:w="1287" w:type="pct"/>
            <w:tcBorders>
              <w:top w:val="single" w:sz="4" w:space="0" w:color="auto"/>
              <w:left w:val="nil"/>
              <w:right w:val="nil"/>
            </w:tcBorders>
            <w:vAlign w:val="center"/>
          </w:tcPr>
          <w:p w14:paraId="18DE7894" w14:textId="77777777" w:rsidR="00FF4608" w:rsidRPr="005641A9" w:rsidRDefault="00FF4608" w:rsidP="00FF4608">
            <w:pPr>
              <w:pStyle w:val="Correspondencedetails"/>
              <w:spacing w:before="0" w:line="240" w:lineRule="auto"/>
              <w:jc w:val="center"/>
            </w:pPr>
            <w:r w:rsidRPr="005641A9">
              <w:t>Process</w:t>
            </w:r>
          </w:p>
        </w:tc>
        <w:tc>
          <w:tcPr>
            <w:tcW w:w="1496" w:type="pct"/>
            <w:tcBorders>
              <w:top w:val="single" w:sz="4" w:space="0" w:color="auto"/>
              <w:left w:val="nil"/>
              <w:right w:val="nil"/>
            </w:tcBorders>
            <w:shd w:val="clear" w:color="auto" w:fill="auto"/>
            <w:vAlign w:val="center"/>
            <w:hideMark/>
          </w:tcPr>
          <w:p w14:paraId="29C474D3" w14:textId="77777777" w:rsidR="00FF4608" w:rsidRPr="005641A9" w:rsidRDefault="00FF4608" w:rsidP="00FF4608">
            <w:pPr>
              <w:pStyle w:val="Correspondencedetails"/>
              <w:spacing w:before="0" w:line="240" w:lineRule="auto"/>
              <w:jc w:val="center"/>
            </w:pPr>
            <w:r w:rsidRPr="005641A9">
              <w:t>Task</w:t>
            </w:r>
          </w:p>
        </w:tc>
        <w:tc>
          <w:tcPr>
            <w:tcW w:w="554" w:type="pct"/>
            <w:tcBorders>
              <w:top w:val="single" w:sz="4" w:space="0" w:color="auto"/>
              <w:left w:val="nil"/>
              <w:right w:val="nil"/>
            </w:tcBorders>
            <w:shd w:val="clear" w:color="auto" w:fill="auto"/>
            <w:vAlign w:val="center"/>
            <w:hideMark/>
          </w:tcPr>
          <w:p w14:paraId="70C278D3" w14:textId="77777777" w:rsidR="00FF4608" w:rsidRPr="005641A9" w:rsidRDefault="00FF4608" w:rsidP="00FF4608">
            <w:pPr>
              <w:pStyle w:val="Correspondencedetails"/>
              <w:spacing w:before="0" w:line="240" w:lineRule="auto"/>
              <w:jc w:val="center"/>
            </w:pPr>
            <w:r w:rsidRPr="005641A9">
              <w:t>ISG</w:t>
            </w:r>
          </w:p>
        </w:tc>
        <w:tc>
          <w:tcPr>
            <w:tcW w:w="554" w:type="pct"/>
            <w:tcBorders>
              <w:top w:val="single" w:sz="4" w:space="0" w:color="auto"/>
              <w:left w:val="nil"/>
              <w:right w:val="nil"/>
            </w:tcBorders>
            <w:shd w:val="clear" w:color="auto" w:fill="auto"/>
            <w:vAlign w:val="center"/>
            <w:hideMark/>
          </w:tcPr>
          <w:p w14:paraId="6FA21D00" w14:textId="77777777" w:rsidR="00FF4608" w:rsidRPr="005641A9" w:rsidRDefault="00FF4608" w:rsidP="00FF4608">
            <w:pPr>
              <w:pStyle w:val="Correspondencedetails"/>
              <w:spacing w:before="0" w:line="240" w:lineRule="auto"/>
              <w:jc w:val="center"/>
            </w:pPr>
            <w:r w:rsidRPr="005641A9">
              <w:t>CG</w:t>
            </w:r>
          </w:p>
        </w:tc>
        <w:tc>
          <w:tcPr>
            <w:tcW w:w="554" w:type="pct"/>
            <w:tcBorders>
              <w:top w:val="single" w:sz="4" w:space="0" w:color="auto"/>
              <w:left w:val="nil"/>
              <w:right w:val="nil"/>
            </w:tcBorders>
            <w:shd w:val="clear" w:color="auto" w:fill="auto"/>
            <w:noWrap/>
            <w:vAlign w:val="center"/>
            <w:hideMark/>
          </w:tcPr>
          <w:p w14:paraId="393F8E00" w14:textId="77777777" w:rsidR="00FF4608" w:rsidRPr="005641A9" w:rsidRDefault="00FF4608" w:rsidP="00FF4608">
            <w:pPr>
              <w:pStyle w:val="Correspondencedetails"/>
              <w:spacing w:before="0" w:line="240" w:lineRule="auto"/>
              <w:jc w:val="center"/>
              <w:rPr>
                <w:i/>
                <w:iCs/>
              </w:rPr>
            </w:pPr>
            <w:r w:rsidRPr="005641A9">
              <w:rPr>
                <w:i/>
                <w:iCs/>
              </w:rPr>
              <w:t>U</w:t>
            </w:r>
          </w:p>
        </w:tc>
        <w:tc>
          <w:tcPr>
            <w:tcW w:w="555" w:type="pct"/>
            <w:tcBorders>
              <w:top w:val="single" w:sz="4" w:space="0" w:color="auto"/>
              <w:left w:val="nil"/>
              <w:right w:val="nil"/>
            </w:tcBorders>
            <w:shd w:val="clear" w:color="auto" w:fill="auto"/>
            <w:noWrap/>
            <w:vAlign w:val="center"/>
            <w:hideMark/>
          </w:tcPr>
          <w:p w14:paraId="5637595C" w14:textId="77777777" w:rsidR="00FF4608" w:rsidRPr="005641A9" w:rsidRDefault="00FF4608" w:rsidP="00FF4608">
            <w:pPr>
              <w:pStyle w:val="Correspondencedetails"/>
              <w:spacing w:before="0" w:line="240" w:lineRule="auto"/>
              <w:jc w:val="center"/>
              <w:rPr>
                <w:i/>
                <w:iCs/>
              </w:rPr>
            </w:pPr>
            <w:r w:rsidRPr="005641A9">
              <w:rPr>
                <w:i/>
                <w:iCs/>
              </w:rPr>
              <w:t>d</w:t>
            </w:r>
          </w:p>
        </w:tc>
      </w:tr>
      <w:tr w:rsidR="00FF4608" w:rsidRPr="005641A9" w14:paraId="0107D10D" w14:textId="77777777" w:rsidTr="00FF4608">
        <w:trPr>
          <w:trHeight w:val="315"/>
        </w:trPr>
        <w:tc>
          <w:tcPr>
            <w:tcW w:w="1287" w:type="pct"/>
            <w:vMerge w:val="restart"/>
            <w:tcBorders>
              <w:top w:val="single" w:sz="4" w:space="0" w:color="auto"/>
              <w:left w:val="nil"/>
              <w:right w:val="nil"/>
            </w:tcBorders>
            <w:vAlign w:val="center"/>
          </w:tcPr>
          <w:p w14:paraId="5ED2007B" w14:textId="77777777" w:rsidR="00FF4608" w:rsidRPr="005641A9" w:rsidRDefault="00FF4608" w:rsidP="002272BE">
            <w:pPr>
              <w:pStyle w:val="Correspondencedetails"/>
              <w:spacing w:before="0" w:line="240" w:lineRule="auto"/>
              <w:jc w:val="both"/>
              <w:rPr>
                <w:color w:val="000000" w:themeColor="text1"/>
              </w:rPr>
            </w:pPr>
            <w:r w:rsidRPr="005641A9">
              <w:rPr>
                <w:color w:val="000000" w:themeColor="text1"/>
              </w:rPr>
              <w:t>Letter identification</w:t>
            </w:r>
          </w:p>
        </w:tc>
        <w:tc>
          <w:tcPr>
            <w:tcW w:w="1496" w:type="pct"/>
            <w:tcBorders>
              <w:top w:val="single" w:sz="4" w:space="0" w:color="auto"/>
              <w:left w:val="nil"/>
              <w:right w:val="nil"/>
            </w:tcBorders>
            <w:shd w:val="clear" w:color="auto" w:fill="auto"/>
            <w:vAlign w:val="center"/>
            <w:hideMark/>
          </w:tcPr>
          <w:p w14:paraId="396965F8" w14:textId="77777777" w:rsidR="00FF4608" w:rsidRPr="005641A9" w:rsidRDefault="00FF4608" w:rsidP="002272BE">
            <w:pPr>
              <w:pStyle w:val="Correspondencedetails"/>
              <w:spacing w:before="0" w:line="240" w:lineRule="auto"/>
              <w:jc w:val="both"/>
            </w:pPr>
            <w:r w:rsidRPr="005641A9">
              <w:rPr>
                <w:color w:val="000000" w:themeColor="text1"/>
              </w:rPr>
              <w:t>Letter identification</w:t>
            </w:r>
          </w:p>
        </w:tc>
        <w:tc>
          <w:tcPr>
            <w:tcW w:w="554" w:type="pct"/>
            <w:tcBorders>
              <w:top w:val="single" w:sz="4" w:space="0" w:color="auto"/>
              <w:left w:val="nil"/>
              <w:right w:val="nil"/>
            </w:tcBorders>
            <w:shd w:val="clear" w:color="auto" w:fill="auto"/>
            <w:vAlign w:val="center"/>
            <w:hideMark/>
          </w:tcPr>
          <w:p w14:paraId="1B79BB87" w14:textId="77777777" w:rsidR="00FF4608" w:rsidRPr="005641A9" w:rsidRDefault="00FF4608" w:rsidP="00FF4608">
            <w:pPr>
              <w:pStyle w:val="Correspondencedetails"/>
              <w:spacing w:before="0" w:line="240" w:lineRule="auto"/>
              <w:jc w:val="center"/>
            </w:pPr>
            <w:r w:rsidRPr="005641A9">
              <w:t>107.19</w:t>
            </w:r>
          </w:p>
          <w:p w14:paraId="281BFB1E" w14:textId="77777777" w:rsidR="00FF4608" w:rsidRPr="005641A9" w:rsidRDefault="00FF4608" w:rsidP="00FF4608">
            <w:pPr>
              <w:pStyle w:val="Correspondencedetails"/>
              <w:spacing w:before="0" w:line="240" w:lineRule="auto"/>
              <w:jc w:val="center"/>
            </w:pPr>
            <w:r w:rsidRPr="005641A9">
              <w:t>(39.54)</w:t>
            </w:r>
          </w:p>
        </w:tc>
        <w:tc>
          <w:tcPr>
            <w:tcW w:w="554" w:type="pct"/>
            <w:tcBorders>
              <w:top w:val="single" w:sz="4" w:space="0" w:color="auto"/>
              <w:left w:val="nil"/>
              <w:right w:val="nil"/>
            </w:tcBorders>
            <w:shd w:val="clear" w:color="auto" w:fill="auto"/>
            <w:vAlign w:val="center"/>
            <w:hideMark/>
          </w:tcPr>
          <w:p w14:paraId="547D75E7" w14:textId="77777777" w:rsidR="00FF4608" w:rsidRPr="005641A9" w:rsidRDefault="00FF4608" w:rsidP="00FF4608">
            <w:pPr>
              <w:pStyle w:val="Correspondencedetails"/>
              <w:spacing w:before="0" w:line="240" w:lineRule="auto"/>
              <w:jc w:val="center"/>
            </w:pPr>
            <w:r w:rsidRPr="005641A9">
              <w:t>102.20</w:t>
            </w:r>
          </w:p>
          <w:p w14:paraId="6C210E1C" w14:textId="77777777" w:rsidR="00FF4608" w:rsidRPr="005641A9" w:rsidRDefault="00FF4608" w:rsidP="00FF4608">
            <w:pPr>
              <w:pStyle w:val="Correspondencedetails"/>
              <w:spacing w:before="0" w:line="240" w:lineRule="auto"/>
              <w:jc w:val="center"/>
            </w:pPr>
            <w:r w:rsidRPr="005641A9">
              <w:t>(35.58)</w:t>
            </w:r>
          </w:p>
        </w:tc>
        <w:tc>
          <w:tcPr>
            <w:tcW w:w="554" w:type="pct"/>
            <w:tcBorders>
              <w:top w:val="single" w:sz="4" w:space="0" w:color="auto"/>
              <w:left w:val="nil"/>
              <w:right w:val="nil"/>
            </w:tcBorders>
            <w:shd w:val="clear" w:color="auto" w:fill="auto"/>
            <w:noWrap/>
            <w:vAlign w:val="center"/>
            <w:hideMark/>
          </w:tcPr>
          <w:p w14:paraId="4B27374A" w14:textId="77777777" w:rsidR="00FF4608" w:rsidRPr="005641A9" w:rsidRDefault="00FF4608" w:rsidP="00FF4608">
            <w:pPr>
              <w:pStyle w:val="Correspondencedetails"/>
              <w:spacing w:before="0" w:line="240" w:lineRule="auto"/>
              <w:jc w:val="center"/>
            </w:pPr>
            <w:r w:rsidRPr="005641A9">
              <w:t>.584</w:t>
            </w:r>
          </w:p>
        </w:tc>
        <w:tc>
          <w:tcPr>
            <w:tcW w:w="555" w:type="pct"/>
            <w:tcBorders>
              <w:top w:val="single" w:sz="4" w:space="0" w:color="auto"/>
              <w:left w:val="nil"/>
              <w:right w:val="nil"/>
            </w:tcBorders>
            <w:shd w:val="clear" w:color="auto" w:fill="auto"/>
            <w:noWrap/>
            <w:vAlign w:val="center"/>
            <w:hideMark/>
          </w:tcPr>
          <w:p w14:paraId="3A80FA1C" w14:textId="77777777" w:rsidR="00FF4608" w:rsidRPr="005641A9" w:rsidRDefault="00FF4608" w:rsidP="00FF4608">
            <w:pPr>
              <w:pStyle w:val="Correspondencedetails"/>
              <w:spacing w:before="0" w:line="240" w:lineRule="auto"/>
              <w:jc w:val="center"/>
            </w:pPr>
            <w:r w:rsidRPr="005641A9">
              <w:t>.13</w:t>
            </w:r>
          </w:p>
        </w:tc>
      </w:tr>
      <w:tr w:rsidR="00FF4608" w:rsidRPr="005641A9" w14:paraId="0E896BAF" w14:textId="77777777" w:rsidTr="00FF4608">
        <w:trPr>
          <w:trHeight w:val="315"/>
        </w:trPr>
        <w:tc>
          <w:tcPr>
            <w:tcW w:w="1287" w:type="pct"/>
            <w:vMerge/>
            <w:tcBorders>
              <w:left w:val="nil"/>
              <w:bottom w:val="single" w:sz="4" w:space="0" w:color="auto"/>
              <w:right w:val="nil"/>
            </w:tcBorders>
            <w:vAlign w:val="center"/>
          </w:tcPr>
          <w:p w14:paraId="23EBA123" w14:textId="77777777" w:rsidR="00FF4608" w:rsidRPr="005641A9" w:rsidRDefault="00FF4608" w:rsidP="002272BE">
            <w:pPr>
              <w:pStyle w:val="Correspondencedetails"/>
              <w:spacing w:before="0" w:line="240" w:lineRule="auto"/>
              <w:jc w:val="both"/>
            </w:pPr>
          </w:p>
        </w:tc>
        <w:tc>
          <w:tcPr>
            <w:tcW w:w="1496" w:type="pct"/>
            <w:tcBorders>
              <w:top w:val="nil"/>
              <w:left w:val="nil"/>
              <w:bottom w:val="single" w:sz="4" w:space="0" w:color="auto"/>
              <w:right w:val="nil"/>
            </w:tcBorders>
            <w:shd w:val="clear" w:color="auto" w:fill="auto"/>
            <w:vAlign w:val="center"/>
            <w:hideMark/>
          </w:tcPr>
          <w:p w14:paraId="21918526" w14:textId="77777777" w:rsidR="00FF4608" w:rsidRPr="005641A9" w:rsidRDefault="00FF4608" w:rsidP="002272BE">
            <w:pPr>
              <w:pStyle w:val="Correspondencedetails"/>
              <w:spacing w:before="0" w:line="240" w:lineRule="auto"/>
              <w:jc w:val="both"/>
            </w:pPr>
            <w:r w:rsidRPr="005641A9">
              <w:t>Same-Different</w:t>
            </w:r>
          </w:p>
        </w:tc>
        <w:tc>
          <w:tcPr>
            <w:tcW w:w="554" w:type="pct"/>
            <w:tcBorders>
              <w:top w:val="nil"/>
              <w:left w:val="nil"/>
              <w:bottom w:val="single" w:sz="4" w:space="0" w:color="auto"/>
              <w:right w:val="nil"/>
            </w:tcBorders>
            <w:shd w:val="clear" w:color="auto" w:fill="auto"/>
            <w:vAlign w:val="center"/>
            <w:hideMark/>
          </w:tcPr>
          <w:p w14:paraId="66ADC214" w14:textId="77777777" w:rsidR="00FF4608" w:rsidRPr="005641A9" w:rsidRDefault="00FF4608" w:rsidP="00FF4608">
            <w:pPr>
              <w:pStyle w:val="Correspondencedetails"/>
              <w:spacing w:before="0" w:line="240" w:lineRule="auto"/>
              <w:jc w:val="center"/>
            </w:pPr>
            <w:r w:rsidRPr="005641A9">
              <w:t>19.02</w:t>
            </w:r>
          </w:p>
          <w:p w14:paraId="32FB7576" w14:textId="77777777" w:rsidR="00FF4608" w:rsidRPr="005641A9" w:rsidRDefault="00FF4608" w:rsidP="00FF4608">
            <w:pPr>
              <w:pStyle w:val="Correspondencedetails"/>
              <w:spacing w:before="0" w:line="240" w:lineRule="auto"/>
              <w:jc w:val="center"/>
            </w:pPr>
            <w:r w:rsidRPr="005641A9">
              <w:t>(11.49)</w:t>
            </w:r>
          </w:p>
        </w:tc>
        <w:tc>
          <w:tcPr>
            <w:tcW w:w="554" w:type="pct"/>
            <w:tcBorders>
              <w:top w:val="nil"/>
              <w:left w:val="nil"/>
              <w:bottom w:val="single" w:sz="4" w:space="0" w:color="auto"/>
              <w:right w:val="nil"/>
            </w:tcBorders>
            <w:shd w:val="clear" w:color="auto" w:fill="auto"/>
            <w:vAlign w:val="center"/>
            <w:hideMark/>
          </w:tcPr>
          <w:p w14:paraId="73D5F925" w14:textId="77777777" w:rsidR="00FF4608" w:rsidRPr="005641A9" w:rsidRDefault="00FF4608" w:rsidP="00FF4608">
            <w:pPr>
              <w:pStyle w:val="Correspondencedetails"/>
              <w:spacing w:before="0" w:line="240" w:lineRule="auto"/>
              <w:jc w:val="center"/>
            </w:pPr>
            <w:r w:rsidRPr="005641A9">
              <w:t>20.22</w:t>
            </w:r>
          </w:p>
          <w:p w14:paraId="72C3F301" w14:textId="77777777" w:rsidR="00FF4608" w:rsidRPr="005641A9" w:rsidRDefault="00FF4608" w:rsidP="00FF4608">
            <w:pPr>
              <w:pStyle w:val="Correspondencedetails"/>
              <w:spacing w:before="0" w:line="240" w:lineRule="auto"/>
              <w:jc w:val="center"/>
            </w:pPr>
            <w:r w:rsidRPr="005641A9">
              <w:t>(11.67)</w:t>
            </w:r>
          </w:p>
        </w:tc>
        <w:tc>
          <w:tcPr>
            <w:tcW w:w="554" w:type="pct"/>
            <w:tcBorders>
              <w:top w:val="nil"/>
              <w:left w:val="nil"/>
              <w:bottom w:val="single" w:sz="4" w:space="0" w:color="auto"/>
              <w:right w:val="nil"/>
            </w:tcBorders>
            <w:shd w:val="clear" w:color="auto" w:fill="auto"/>
            <w:noWrap/>
            <w:vAlign w:val="center"/>
            <w:hideMark/>
          </w:tcPr>
          <w:p w14:paraId="624E6339" w14:textId="77777777" w:rsidR="00FF4608" w:rsidRPr="005641A9" w:rsidRDefault="00FF4608" w:rsidP="00FF4608">
            <w:pPr>
              <w:pStyle w:val="Correspondencedetails"/>
              <w:spacing w:before="0" w:line="240" w:lineRule="auto"/>
              <w:jc w:val="center"/>
            </w:pPr>
            <w:r w:rsidRPr="005641A9">
              <w:t>.462</w:t>
            </w:r>
          </w:p>
        </w:tc>
        <w:tc>
          <w:tcPr>
            <w:tcW w:w="555" w:type="pct"/>
            <w:tcBorders>
              <w:top w:val="nil"/>
              <w:left w:val="nil"/>
              <w:bottom w:val="single" w:sz="4" w:space="0" w:color="auto"/>
              <w:right w:val="nil"/>
            </w:tcBorders>
            <w:shd w:val="clear" w:color="auto" w:fill="auto"/>
            <w:noWrap/>
            <w:vAlign w:val="center"/>
            <w:hideMark/>
          </w:tcPr>
          <w:p w14:paraId="74417744" w14:textId="77777777" w:rsidR="00FF4608" w:rsidRPr="005641A9" w:rsidRDefault="00FF4608" w:rsidP="00FF4608">
            <w:pPr>
              <w:pStyle w:val="Correspondencedetails"/>
              <w:spacing w:before="0" w:line="240" w:lineRule="auto"/>
              <w:jc w:val="center"/>
            </w:pPr>
            <w:r w:rsidRPr="005641A9">
              <w:t>.10</w:t>
            </w:r>
          </w:p>
        </w:tc>
      </w:tr>
      <w:tr w:rsidR="00FF4608" w:rsidRPr="005641A9" w14:paraId="7514A26F" w14:textId="77777777" w:rsidTr="00FF4608">
        <w:trPr>
          <w:trHeight w:val="360"/>
        </w:trPr>
        <w:tc>
          <w:tcPr>
            <w:tcW w:w="1287" w:type="pct"/>
            <w:vMerge w:val="restart"/>
            <w:tcBorders>
              <w:top w:val="single" w:sz="4" w:space="0" w:color="auto"/>
              <w:left w:val="nil"/>
              <w:right w:val="nil"/>
            </w:tcBorders>
            <w:vAlign w:val="center"/>
          </w:tcPr>
          <w:p w14:paraId="48F4D557" w14:textId="77777777" w:rsidR="00FF4608" w:rsidRPr="005641A9" w:rsidRDefault="00FF4608" w:rsidP="002272BE">
            <w:pPr>
              <w:pStyle w:val="Correspondencedetails"/>
              <w:spacing w:before="0" w:line="240" w:lineRule="auto"/>
              <w:jc w:val="both"/>
              <w:rPr>
                <w:color w:val="000000" w:themeColor="text1"/>
              </w:rPr>
            </w:pPr>
            <w:r w:rsidRPr="005641A9">
              <w:rPr>
                <w:color w:val="000000" w:themeColor="text1"/>
              </w:rPr>
              <w:t>Lexical</w:t>
            </w:r>
          </w:p>
        </w:tc>
        <w:tc>
          <w:tcPr>
            <w:tcW w:w="1496" w:type="pct"/>
            <w:tcBorders>
              <w:top w:val="single" w:sz="4" w:space="0" w:color="auto"/>
              <w:left w:val="nil"/>
              <w:right w:val="nil"/>
            </w:tcBorders>
            <w:shd w:val="clear" w:color="auto" w:fill="auto"/>
            <w:vAlign w:val="center"/>
            <w:hideMark/>
          </w:tcPr>
          <w:p w14:paraId="73A9505B" w14:textId="77777777" w:rsidR="00FF4608" w:rsidRPr="005641A9" w:rsidRDefault="00FF4608" w:rsidP="002272BE">
            <w:pPr>
              <w:pStyle w:val="Correspondencedetails"/>
              <w:spacing w:before="0" w:line="240" w:lineRule="auto"/>
              <w:jc w:val="both"/>
            </w:pPr>
            <w:r w:rsidRPr="005641A9">
              <w:rPr>
                <w:color w:val="000000" w:themeColor="text1"/>
              </w:rPr>
              <w:t>Word Reading</w:t>
            </w:r>
          </w:p>
        </w:tc>
        <w:tc>
          <w:tcPr>
            <w:tcW w:w="554" w:type="pct"/>
            <w:tcBorders>
              <w:top w:val="single" w:sz="4" w:space="0" w:color="auto"/>
              <w:left w:val="nil"/>
              <w:right w:val="nil"/>
            </w:tcBorders>
            <w:shd w:val="clear" w:color="auto" w:fill="auto"/>
            <w:vAlign w:val="center"/>
            <w:hideMark/>
          </w:tcPr>
          <w:p w14:paraId="417CA686" w14:textId="77777777" w:rsidR="00FF4608" w:rsidRPr="005641A9" w:rsidRDefault="00FF4608" w:rsidP="00FF4608">
            <w:pPr>
              <w:pStyle w:val="Correspondencedetails"/>
              <w:spacing w:before="0" w:line="240" w:lineRule="auto"/>
              <w:jc w:val="center"/>
            </w:pPr>
            <w:r w:rsidRPr="005641A9">
              <w:t>57.33</w:t>
            </w:r>
          </w:p>
          <w:p w14:paraId="660D3912" w14:textId="77777777" w:rsidR="00FF4608" w:rsidRPr="005641A9" w:rsidRDefault="00FF4608" w:rsidP="00FF4608">
            <w:pPr>
              <w:pStyle w:val="Correspondencedetails"/>
              <w:spacing w:before="0" w:line="240" w:lineRule="auto"/>
              <w:jc w:val="center"/>
            </w:pPr>
            <w:r w:rsidRPr="005641A9">
              <w:t>(23.38)</w:t>
            </w:r>
          </w:p>
        </w:tc>
        <w:tc>
          <w:tcPr>
            <w:tcW w:w="554" w:type="pct"/>
            <w:tcBorders>
              <w:top w:val="single" w:sz="4" w:space="0" w:color="auto"/>
              <w:left w:val="nil"/>
              <w:right w:val="nil"/>
            </w:tcBorders>
            <w:shd w:val="clear" w:color="auto" w:fill="auto"/>
            <w:vAlign w:val="center"/>
            <w:hideMark/>
          </w:tcPr>
          <w:p w14:paraId="245351F0" w14:textId="77777777" w:rsidR="00FF4608" w:rsidRPr="005641A9" w:rsidRDefault="00FF4608" w:rsidP="00FF4608">
            <w:pPr>
              <w:pStyle w:val="Correspondencedetails"/>
              <w:spacing w:before="0" w:line="240" w:lineRule="auto"/>
              <w:jc w:val="center"/>
            </w:pPr>
            <w:r w:rsidRPr="005641A9">
              <w:t>73.56</w:t>
            </w:r>
          </w:p>
          <w:p w14:paraId="2B7B3B55" w14:textId="77777777" w:rsidR="00FF4608" w:rsidRPr="005641A9" w:rsidRDefault="00FF4608" w:rsidP="00FF4608">
            <w:pPr>
              <w:pStyle w:val="Correspondencedetails"/>
              <w:spacing w:before="0" w:line="240" w:lineRule="auto"/>
              <w:jc w:val="center"/>
            </w:pPr>
            <w:r w:rsidRPr="005641A9">
              <w:t>(32.67)</w:t>
            </w:r>
          </w:p>
        </w:tc>
        <w:tc>
          <w:tcPr>
            <w:tcW w:w="554" w:type="pct"/>
            <w:tcBorders>
              <w:top w:val="single" w:sz="4" w:space="0" w:color="auto"/>
              <w:left w:val="nil"/>
              <w:right w:val="nil"/>
            </w:tcBorders>
            <w:shd w:val="clear" w:color="auto" w:fill="auto"/>
            <w:noWrap/>
            <w:vAlign w:val="center"/>
            <w:hideMark/>
          </w:tcPr>
          <w:p w14:paraId="319FE8DF" w14:textId="77777777" w:rsidR="00FF4608" w:rsidRPr="005641A9" w:rsidRDefault="00FF4608" w:rsidP="00FF4608">
            <w:pPr>
              <w:pStyle w:val="Correspondencedetails"/>
              <w:spacing w:before="0" w:line="240" w:lineRule="auto"/>
              <w:jc w:val="center"/>
            </w:pPr>
            <w:r w:rsidRPr="005641A9">
              <w:t>.019*</w:t>
            </w:r>
          </w:p>
        </w:tc>
        <w:tc>
          <w:tcPr>
            <w:tcW w:w="555" w:type="pct"/>
            <w:tcBorders>
              <w:top w:val="single" w:sz="4" w:space="0" w:color="auto"/>
              <w:left w:val="nil"/>
              <w:right w:val="nil"/>
            </w:tcBorders>
            <w:shd w:val="clear" w:color="auto" w:fill="auto"/>
            <w:noWrap/>
            <w:vAlign w:val="center"/>
            <w:hideMark/>
          </w:tcPr>
          <w:p w14:paraId="5EB5874E" w14:textId="77777777" w:rsidR="00FF4608" w:rsidRPr="005641A9" w:rsidRDefault="00FF4608" w:rsidP="00FF4608">
            <w:pPr>
              <w:pStyle w:val="Correspondencedetails"/>
              <w:spacing w:before="0" w:line="240" w:lineRule="auto"/>
              <w:jc w:val="center"/>
            </w:pPr>
            <w:r w:rsidRPr="005641A9">
              <w:t>.57</w:t>
            </w:r>
          </w:p>
        </w:tc>
      </w:tr>
      <w:tr w:rsidR="00FF4608" w:rsidRPr="005641A9" w14:paraId="7774F0B7" w14:textId="77777777" w:rsidTr="00FF4608">
        <w:trPr>
          <w:trHeight w:val="360"/>
        </w:trPr>
        <w:tc>
          <w:tcPr>
            <w:tcW w:w="1287" w:type="pct"/>
            <w:vMerge/>
            <w:tcBorders>
              <w:left w:val="nil"/>
              <w:bottom w:val="single" w:sz="4" w:space="0" w:color="auto"/>
              <w:right w:val="nil"/>
            </w:tcBorders>
            <w:vAlign w:val="center"/>
          </w:tcPr>
          <w:p w14:paraId="33A87A21" w14:textId="77777777" w:rsidR="00FF4608" w:rsidRPr="005641A9" w:rsidRDefault="00FF4608" w:rsidP="002272BE">
            <w:pPr>
              <w:pStyle w:val="Correspondencedetails"/>
              <w:spacing w:before="0" w:line="240" w:lineRule="auto"/>
              <w:jc w:val="both"/>
              <w:rPr>
                <w:color w:val="000000" w:themeColor="text1"/>
              </w:rPr>
            </w:pPr>
          </w:p>
        </w:tc>
        <w:tc>
          <w:tcPr>
            <w:tcW w:w="1496" w:type="pct"/>
            <w:tcBorders>
              <w:top w:val="nil"/>
              <w:left w:val="nil"/>
              <w:bottom w:val="single" w:sz="4" w:space="0" w:color="auto"/>
              <w:right w:val="nil"/>
            </w:tcBorders>
            <w:shd w:val="clear" w:color="auto" w:fill="auto"/>
            <w:vAlign w:val="center"/>
            <w:hideMark/>
          </w:tcPr>
          <w:p w14:paraId="61621CED" w14:textId="77777777" w:rsidR="00FF4608" w:rsidRPr="005641A9" w:rsidRDefault="00FF4608" w:rsidP="002272BE">
            <w:pPr>
              <w:pStyle w:val="Correspondencedetails"/>
              <w:spacing w:before="0" w:line="240" w:lineRule="auto"/>
              <w:jc w:val="both"/>
            </w:pPr>
            <w:r w:rsidRPr="005641A9">
              <w:rPr>
                <w:color w:val="000000" w:themeColor="text1"/>
              </w:rPr>
              <w:t>Pseudowords Reading</w:t>
            </w:r>
          </w:p>
        </w:tc>
        <w:tc>
          <w:tcPr>
            <w:tcW w:w="554" w:type="pct"/>
            <w:tcBorders>
              <w:top w:val="nil"/>
              <w:left w:val="nil"/>
              <w:bottom w:val="single" w:sz="4" w:space="0" w:color="auto"/>
              <w:right w:val="nil"/>
            </w:tcBorders>
            <w:shd w:val="clear" w:color="auto" w:fill="auto"/>
            <w:vAlign w:val="center"/>
            <w:hideMark/>
          </w:tcPr>
          <w:p w14:paraId="0BFCA13E" w14:textId="77777777" w:rsidR="00FF4608" w:rsidRPr="005641A9" w:rsidRDefault="00FF4608" w:rsidP="00FF4608">
            <w:pPr>
              <w:pStyle w:val="Correspondencedetails"/>
              <w:spacing w:before="0" w:line="240" w:lineRule="auto"/>
              <w:jc w:val="center"/>
            </w:pPr>
            <w:r w:rsidRPr="005641A9">
              <w:t>38.38</w:t>
            </w:r>
          </w:p>
          <w:p w14:paraId="75C285A3" w14:textId="77777777" w:rsidR="00FF4608" w:rsidRPr="005641A9" w:rsidRDefault="00FF4608" w:rsidP="00FF4608">
            <w:pPr>
              <w:pStyle w:val="Correspondencedetails"/>
              <w:spacing w:before="0" w:line="240" w:lineRule="auto"/>
              <w:jc w:val="center"/>
            </w:pPr>
            <w:r w:rsidRPr="005641A9">
              <w:t>(14.84)</w:t>
            </w:r>
          </w:p>
        </w:tc>
        <w:tc>
          <w:tcPr>
            <w:tcW w:w="554" w:type="pct"/>
            <w:tcBorders>
              <w:top w:val="nil"/>
              <w:left w:val="nil"/>
              <w:bottom w:val="single" w:sz="4" w:space="0" w:color="auto"/>
              <w:right w:val="nil"/>
            </w:tcBorders>
            <w:shd w:val="clear" w:color="auto" w:fill="auto"/>
            <w:vAlign w:val="center"/>
            <w:hideMark/>
          </w:tcPr>
          <w:p w14:paraId="428DAE4F" w14:textId="77777777" w:rsidR="00FF4608" w:rsidRPr="005641A9" w:rsidRDefault="00FF4608" w:rsidP="00FF4608">
            <w:pPr>
              <w:pStyle w:val="Correspondencedetails"/>
              <w:spacing w:before="0" w:line="240" w:lineRule="auto"/>
              <w:jc w:val="center"/>
            </w:pPr>
            <w:r w:rsidRPr="005641A9">
              <w:t>47.52</w:t>
            </w:r>
          </w:p>
          <w:p w14:paraId="5064DC59" w14:textId="77777777" w:rsidR="00FF4608" w:rsidRPr="005641A9" w:rsidRDefault="00FF4608" w:rsidP="00FF4608">
            <w:pPr>
              <w:pStyle w:val="Correspondencedetails"/>
              <w:spacing w:before="0" w:line="240" w:lineRule="auto"/>
              <w:jc w:val="center"/>
            </w:pPr>
            <w:r w:rsidRPr="005641A9">
              <w:t>(17.34)</w:t>
            </w:r>
          </w:p>
        </w:tc>
        <w:tc>
          <w:tcPr>
            <w:tcW w:w="554" w:type="pct"/>
            <w:tcBorders>
              <w:top w:val="nil"/>
              <w:left w:val="nil"/>
              <w:bottom w:val="single" w:sz="4" w:space="0" w:color="auto"/>
              <w:right w:val="nil"/>
            </w:tcBorders>
            <w:shd w:val="clear" w:color="auto" w:fill="auto"/>
            <w:noWrap/>
            <w:vAlign w:val="center"/>
            <w:hideMark/>
          </w:tcPr>
          <w:p w14:paraId="48661F65" w14:textId="77777777" w:rsidR="00FF4608" w:rsidRPr="005641A9" w:rsidRDefault="00FF4608" w:rsidP="00FF4608">
            <w:pPr>
              <w:pStyle w:val="Correspondencedetails"/>
              <w:spacing w:before="0" w:line="240" w:lineRule="auto"/>
              <w:jc w:val="center"/>
            </w:pPr>
            <w:r w:rsidRPr="005641A9">
              <w:t>.005**</w:t>
            </w:r>
          </w:p>
        </w:tc>
        <w:tc>
          <w:tcPr>
            <w:tcW w:w="555" w:type="pct"/>
            <w:tcBorders>
              <w:top w:val="nil"/>
              <w:left w:val="nil"/>
              <w:bottom w:val="single" w:sz="4" w:space="0" w:color="auto"/>
              <w:right w:val="nil"/>
            </w:tcBorders>
            <w:shd w:val="clear" w:color="auto" w:fill="auto"/>
            <w:noWrap/>
            <w:vAlign w:val="center"/>
            <w:hideMark/>
          </w:tcPr>
          <w:p w14:paraId="10CF3019" w14:textId="77777777" w:rsidR="00FF4608" w:rsidRPr="005641A9" w:rsidRDefault="00FF4608" w:rsidP="00FF4608">
            <w:pPr>
              <w:pStyle w:val="Correspondencedetails"/>
              <w:spacing w:before="0" w:line="240" w:lineRule="auto"/>
              <w:jc w:val="center"/>
            </w:pPr>
            <w:r w:rsidRPr="005641A9">
              <w:t>.57</w:t>
            </w:r>
          </w:p>
        </w:tc>
      </w:tr>
      <w:tr w:rsidR="00FF4608" w:rsidRPr="005641A9" w14:paraId="69E17BB5" w14:textId="77777777" w:rsidTr="00FF4608">
        <w:trPr>
          <w:trHeight w:val="360"/>
        </w:trPr>
        <w:tc>
          <w:tcPr>
            <w:tcW w:w="1287" w:type="pct"/>
            <w:vMerge w:val="restart"/>
            <w:tcBorders>
              <w:top w:val="single" w:sz="4" w:space="0" w:color="auto"/>
              <w:left w:val="nil"/>
              <w:right w:val="nil"/>
            </w:tcBorders>
            <w:vAlign w:val="center"/>
          </w:tcPr>
          <w:p w14:paraId="5C43A12D" w14:textId="77777777" w:rsidR="00FF4608" w:rsidRPr="005641A9" w:rsidRDefault="00FF4608" w:rsidP="002272BE">
            <w:pPr>
              <w:pStyle w:val="Correspondencedetails"/>
              <w:spacing w:before="0" w:line="240" w:lineRule="auto"/>
              <w:jc w:val="both"/>
            </w:pPr>
            <w:r w:rsidRPr="005641A9">
              <w:t>Grammar</w:t>
            </w:r>
          </w:p>
        </w:tc>
        <w:tc>
          <w:tcPr>
            <w:tcW w:w="1496" w:type="pct"/>
            <w:tcBorders>
              <w:top w:val="single" w:sz="4" w:space="0" w:color="auto"/>
              <w:left w:val="nil"/>
              <w:right w:val="nil"/>
            </w:tcBorders>
            <w:shd w:val="clear" w:color="auto" w:fill="auto"/>
            <w:vAlign w:val="center"/>
            <w:hideMark/>
          </w:tcPr>
          <w:p w14:paraId="298B2F90" w14:textId="77777777" w:rsidR="00FF4608" w:rsidRPr="005641A9" w:rsidRDefault="00FF4608" w:rsidP="002272BE">
            <w:pPr>
              <w:pStyle w:val="Correspondencedetails"/>
              <w:spacing w:before="0" w:line="240" w:lineRule="auto"/>
              <w:jc w:val="both"/>
            </w:pPr>
            <w:r w:rsidRPr="005641A9">
              <w:t>Grammar Structure</w:t>
            </w:r>
          </w:p>
        </w:tc>
        <w:tc>
          <w:tcPr>
            <w:tcW w:w="554" w:type="pct"/>
            <w:tcBorders>
              <w:top w:val="single" w:sz="4" w:space="0" w:color="auto"/>
              <w:left w:val="nil"/>
              <w:right w:val="nil"/>
            </w:tcBorders>
            <w:shd w:val="clear" w:color="auto" w:fill="auto"/>
            <w:vAlign w:val="center"/>
            <w:hideMark/>
          </w:tcPr>
          <w:p w14:paraId="5BAC7696" w14:textId="77777777" w:rsidR="00FF4608" w:rsidRPr="005641A9" w:rsidRDefault="00FF4608" w:rsidP="00FF4608">
            <w:pPr>
              <w:pStyle w:val="Correspondencedetails"/>
              <w:spacing w:before="0" w:line="240" w:lineRule="auto"/>
              <w:jc w:val="center"/>
            </w:pPr>
            <w:r w:rsidRPr="005641A9">
              <w:t>11.45</w:t>
            </w:r>
          </w:p>
          <w:p w14:paraId="024E3914" w14:textId="77777777" w:rsidR="00FF4608" w:rsidRPr="005641A9" w:rsidRDefault="00FF4608" w:rsidP="00FF4608">
            <w:pPr>
              <w:pStyle w:val="Correspondencedetails"/>
              <w:spacing w:before="0" w:line="240" w:lineRule="auto"/>
              <w:jc w:val="center"/>
            </w:pPr>
            <w:r w:rsidRPr="005641A9">
              <w:t>(2.29)</w:t>
            </w:r>
          </w:p>
        </w:tc>
        <w:tc>
          <w:tcPr>
            <w:tcW w:w="554" w:type="pct"/>
            <w:tcBorders>
              <w:top w:val="single" w:sz="4" w:space="0" w:color="auto"/>
              <w:left w:val="nil"/>
              <w:right w:val="nil"/>
            </w:tcBorders>
            <w:shd w:val="clear" w:color="auto" w:fill="auto"/>
            <w:vAlign w:val="center"/>
            <w:hideMark/>
          </w:tcPr>
          <w:p w14:paraId="0DF06CEA" w14:textId="77777777" w:rsidR="00FF4608" w:rsidRPr="005641A9" w:rsidRDefault="00FF4608" w:rsidP="00FF4608">
            <w:pPr>
              <w:pStyle w:val="Correspondencedetails"/>
              <w:spacing w:before="0" w:line="240" w:lineRule="auto"/>
              <w:jc w:val="center"/>
            </w:pPr>
            <w:r w:rsidRPr="005641A9">
              <w:t>12.13</w:t>
            </w:r>
          </w:p>
          <w:p w14:paraId="5B8F0CC6" w14:textId="77777777" w:rsidR="00FF4608" w:rsidRPr="005641A9" w:rsidRDefault="00FF4608" w:rsidP="00FF4608">
            <w:pPr>
              <w:pStyle w:val="Correspondencedetails"/>
              <w:spacing w:before="0" w:line="240" w:lineRule="auto"/>
              <w:jc w:val="center"/>
            </w:pPr>
            <w:r w:rsidRPr="005641A9">
              <w:t>(2.8)</w:t>
            </w:r>
          </w:p>
        </w:tc>
        <w:tc>
          <w:tcPr>
            <w:tcW w:w="554" w:type="pct"/>
            <w:tcBorders>
              <w:top w:val="single" w:sz="4" w:space="0" w:color="auto"/>
              <w:left w:val="nil"/>
              <w:right w:val="nil"/>
            </w:tcBorders>
            <w:shd w:val="clear" w:color="auto" w:fill="auto"/>
            <w:noWrap/>
            <w:vAlign w:val="center"/>
            <w:hideMark/>
          </w:tcPr>
          <w:p w14:paraId="19E9E884" w14:textId="77777777" w:rsidR="00FF4608" w:rsidRPr="005641A9" w:rsidRDefault="00FF4608" w:rsidP="00FF4608">
            <w:pPr>
              <w:pStyle w:val="Correspondencedetails"/>
              <w:spacing w:before="0" w:line="240" w:lineRule="auto"/>
              <w:jc w:val="center"/>
            </w:pPr>
            <w:r w:rsidRPr="005641A9">
              <w:t>.110</w:t>
            </w:r>
          </w:p>
        </w:tc>
        <w:tc>
          <w:tcPr>
            <w:tcW w:w="555" w:type="pct"/>
            <w:tcBorders>
              <w:top w:val="single" w:sz="4" w:space="0" w:color="auto"/>
              <w:left w:val="nil"/>
              <w:right w:val="nil"/>
            </w:tcBorders>
            <w:shd w:val="clear" w:color="auto" w:fill="auto"/>
            <w:noWrap/>
            <w:vAlign w:val="center"/>
            <w:hideMark/>
          </w:tcPr>
          <w:p w14:paraId="3D89C899" w14:textId="77777777" w:rsidR="00FF4608" w:rsidRPr="005641A9" w:rsidRDefault="00FF4608" w:rsidP="00FF4608">
            <w:pPr>
              <w:pStyle w:val="Correspondencedetails"/>
              <w:spacing w:before="0" w:line="240" w:lineRule="auto"/>
              <w:jc w:val="center"/>
            </w:pPr>
            <w:r w:rsidRPr="005641A9">
              <w:t>.26</w:t>
            </w:r>
          </w:p>
        </w:tc>
      </w:tr>
      <w:tr w:rsidR="00FF4608" w:rsidRPr="005641A9" w14:paraId="09162424" w14:textId="77777777" w:rsidTr="00FF4608">
        <w:trPr>
          <w:trHeight w:val="360"/>
        </w:trPr>
        <w:tc>
          <w:tcPr>
            <w:tcW w:w="1287" w:type="pct"/>
            <w:vMerge/>
            <w:tcBorders>
              <w:left w:val="nil"/>
              <w:bottom w:val="single" w:sz="4" w:space="0" w:color="auto"/>
              <w:right w:val="nil"/>
            </w:tcBorders>
            <w:vAlign w:val="center"/>
          </w:tcPr>
          <w:p w14:paraId="0A53BEB3" w14:textId="77777777" w:rsidR="00FF4608" w:rsidRPr="005641A9" w:rsidRDefault="00FF4608" w:rsidP="002272BE">
            <w:pPr>
              <w:pStyle w:val="Correspondencedetails"/>
              <w:spacing w:before="0" w:line="240" w:lineRule="auto"/>
              <w:jc w:val="both"/>
              <w:rPr>
                <w:color w:val="000000" w:themeColor="text1"/>
              </w:rPr>
            </w:pPr>
          </w:p>
        </w:tc>
        <w:tc>
          <w:tcPr>
            <w:tcW w:w="1496" w:type="pct"/>
            <w:tcBorders>
              <w:top w:val="nil"/>
              <w:left w:val="nil"/>
              <w:bottom w:val="single" w:sz="4" w:space="0" w:color="auto"/>
              <w:right w:val="nil"/>
            </w:tcBorders>
            <w:shd w:val="clear" w:color="auto" w:fill="auto"/>
            <w:vAlign w:val="center"/>
            <w:hideMark/>
          </w:tcPr>
          <w:p w14:paraId="49C79ABD" w14:textId="77777777" w:rsidR="00FF4608" w:rsidRPr="005641A9" w:rsidRDefault="00FF4608" w:rsidP="002272BE">
            <w:pPr>
              <w:pStyle w:val="Correspondencedetails"/>
              <w:spacing w:before="0" w:line="240" w:lineRule="auto"/>
              <w:jc w:val="both"/>
            </w:pPr>
            <w:r w:rsidRPr="005641A9">
              <w:rPr>
                <w:color w:val="000000" w:themeColor="text1"/>
              </w:rPr>
              <w:t>Punctuation Marks</w:t>
            </w:r>
          </w:p>
        </w:tc>
        <w:tc>
          <w:tcPr>
            <w:tcW w:w="554" w:type="pct"/>
            <w:tcBorders>
              <w:top w:val="nil"/>
              <w:left w:val="nil"/>
              <w:bottom w:val="single" w:sz="4" w:space="0" w:color="auto"/>
              <w:right w:val="nil"/>
            </w:tcBorders>
            <w:shd w:val="clear" w:color="auto" w:fill="auto"/>
            <w:vAlign w:val="center"/>
            <w:hideMark/>
          </w:tcPr>
          <w:p w14:paraId="098829F8" w14:textId="77777777" w:rsidR="00FF4608" w:rsidRPr="005641A9" w:rsidRDefault="00FF4608" w:rsidP="00FF4608">
            <w:pPr>
              <w:pStyle w:val="Correspondencedetails"/>
              <w:spacing w:before="0" w:line="240" w:lineRule="auto"/>
              <w:jc w:val="center"/>
            </w:pPr>
            <w:r w:rsidRPr="005641A9">
              <w:t>8.4</w:t>
            </w:r>
          </w:p>
          <w:p w14:paraId="47BEB263" w14:textId="77777777" w:rsidR="00FF4608" w:rsidRPr="005641A9" w:rsidRDefault="00FF4608" w:rsidP="00FF4608">
            <w:pPr>
              <w:pStyle w:val="Correspondencedetails"/>
              <w:spacing w:before="0" w:line="240" w:lineRule="auto"/>
              <w:jc w:val="center"/>
            </w:pPr>
            <w:r w:rsidRPr="005641A9">
              <w:t>(5.23)</w:t>
            </w:r>
          </w:p>
        </w:tc>
        <w:tc>
          <w:tcPr>
            <w:tcW w:w="554" w:type="pct"/>
            <w:tcBorders>
              <w:top w:val="nil"/>
              <w:left w:val="nil"/>
              <w:bottom w:val="single" w:sz="4" w:space="0" w:color="auto"/>
              <w:right w:val="nil"/>
            </w:tcBorders>
            <w:shd w:val="clear" w:color="auto" w:fill="auto"/>
            <w:vAlign w:val="center"/>
            <w:hideMark/>
          </w:tcPr>
          <w:p w14:paraId="79CE48A4" w14:textId="77777777" w:rsidR="00FF4608" w:rsidRPr="005641A9" w:rsidRDefault="00FF4608" w:rsidP="00FF4608">
            <w:pPr>
              <w:pStyle w:val="Correspondencedetails"/>
              <w:spacing w:before="0" w:line="240" w:lineRule="auto"/>
              <w:jc w:val="center"/>
            </w:pPr>
            <w:r w:rsidRPr="005641A9">
              <w:t>12.5</w:t>
            </w:r>
          </w:p>
          <w:p w14:paraId="79C5C31F" w14:textId="77777777" w:rsidR="00FF4608" w:rsidRPr="005641A9" w:rsidRDefault="00FF4608" w:rsidP="00FF4608">
            <w:pPr>
              <w:pStyle w:val="Correspondencedetails"/>
              <w:spacing w:before="0" w:line="240" w:lineRule="auto"/>
              <w:jc w:val="center"/>
            </w:pPr>
            <w:r w:rsidRPr="005641A9">
              <w:t>(8.91)</w:t>
            </w:r>
          </w:p>
        </w:tc>
        <w:tc>
          <w:tcPr>
            <w:tcW w:w="554" w:type="pct"/>
            <w:tcBorders>
              <w:top w:val="nil"/>
              <w:left w:val="nil"/>
              <w:bottom w:val="single" w:sz="4" w:space="0" w:color="auto"/>
              <w:right w:val="nil"/>
            </w:tcBorders>
            <w:shd w:val="clear" w:color="auto" w:fill="auto"/>
            <w:noWrap/>
            <w:vAlign w:val="center"/>
            <w:hideMark/>
          </w:tcPr>
          <w:p w14:paraId="32DB6CBB" w14:textId="77777777" w:rsidR="00FF4608" w:rsidRPr="005641A9" w:rsidRDefault="00FF4608" w:rsidP="00FF4608">
            <w:pPr>
              <w:pStyle w:val="Correspondencedetails"/>
              <w:spacing w:before="0" w:line="240" w:lineRule="auto"/>
              <w:jc w:val="center"/>
            </w:pPr>
            <w:r w:rsidRPr="005641A9">
              <w:t>.009**</w:t>
            </w:r>
          </w:p>
        </w:tc>
        <w:tc>
          <w:tcPr>
            <w:tcW w:w="555" w:type="pct"/>
            <w:tcBorders>
              <w:top w:val="nil"/>
              <w:left w:val="nil"/>
              <w:bottom w:val="single" w:sz="4" w:space="0" w:color="auto"/>
              <w:right w:val="nil"/>
            </w:tcBorders>
            <w:shd w:val="clear" w:color="auto" w:fill="auto"/>
            <w:noWrap/>
            <w:vAlign w:val="center"/>
            <w:hideMark/>
          </w:tcPr>
          <w:p w14:paraId="26E70E23" w14:textId="7BE82F13" w:rsidR="00FF4608" w:rsidRPr="005641A9" w:rsidRDefault="00FF4608" w:rsidP="00FF4608">
            <w:pPr>
              <w:pStyle w:val="Correspondencedetails"/>
              <w:spacing w:before="0" w:line="240" w:lineRule="auto"/>
              <w:jc w:val="center"/>
            </w:pPr>
            <w:r w:rsidRPr="005641A9">
              <w:t>.56</w:t>
            </w:r>
          </w:p>
        </w:tc>
      </w:tr>
      <w:tr w:rsidR="00FF4608" w:rsidRPr="005641A9" w14:paraId="108606BB" w14:textId="77777777" w:rsidTr="00FF4608">
        <w:trPr>
          <w:trHeight w:val="360"/>
        </w:trPr>
        <w:tc>
          <w:tcPr>
            <w:tcW w:w="1287" w:type="pct"/>
            <w:vMerge w:val="restart"/>
            <w:tcBorders>
              <w:top w:val="single" w:sz="4" w:space="0" w:color="auto"/>
              <w:left w:val="nil"/>
              <w:right w:val="nil"/>
            </w:tcBorders>
            <w:vAlign w:val="center"/>
          </w:tcPr>
          <w:p w14:paraId="3175413C" w14:textId="77777777" w:rsidR="00FF4608" w:rsidRPr="005641A9" w:rsidRDefault="00FF4608" w:rsidP="002272BE">
            <w:pPr>
              <w:pStyle w:val="Correspondencedetails"/>
              <w:spacing w:before="0" w:line="240" w:lineRule="auto"/>
              <w:jc w:val="both"/>
              <w:rPr>
                <w:color w:val="000000" w:themeColor="text1"/>
              </w:rPr>
            </w:pPr>
            <w:r w:rsidRPr="005641A9">
              <w:rPr>
                <w:color w:val="000000" w:themeColor="text1"/>
              </w:rPr>
              <w:t>Semantic</w:t>
            </w:r>
          </w:p>
        </w:tc>
        <w:tc>
          <w:tcPr>
            <w:tcW w:w="1496" w:type="pct"/>
            <w:tcBorders>
              <w:top w:val="single" w:sz="4" w:space="0" w:color="auto"/>
              <w:left w:val="nil"/>
              <w:bottom w:val="nil"/>
              <w:right w:val="nil"/>
            </w:tcBorders>
            <w:shd w:val="clear" w:color="auto" w:fill="auto"/>
            <w:vAlign w:val="center"/>
            <w:hideMark/>
          </w:tcPr>
          <w:p w14:paraId="7A547190" w14:textId="77777777" w:rsidR="00FF4608" w:rsidRPr="005641A9" w:rsidRDefault="00FF4608" w:rsidP="002272BE">
            <w:pPr>
              <w:pStyle w:val="Correspondencedetails"/>
              <w:spacing w:before="0" w:line="240" w:lineRule="auto"/>
              <w:jc w:val="both"/>
            </w:pPr>
            <w:r w:rsidRPr="005641A9">
              <w:rPr>
                <w:color w:val="000000" w:themeColor="text1"/>
              </w:rPr>
              <w:t>Sentence Comprehension</w:t>
            </w:r>
          </w:p>
        </w:tc>
        <w:tc>
          <w:tcPr>
            <w:tcW w:w="554" w:type="pct"/>
            <w:tcBorders>
              <w:top w:val="single" w:sz="4" w:space="0" w:color="auto"/>
              <w:left w:val="nil"/>
              <w:bottom w:val="nil"/>
              <w:right w:val="nil"/>
            </w:tcBorders>
            <w:shd w:val="clear" w:color="auto" w:fill="auto"/>
            <w:vAlign w:val="center"/>
            <w:hideMark/>
          </w:tcPr>
          <w:p w14:paraId="14958831" w14:textId="77777777" w:rsidR="00FF4608" w:rsidRPr="005641A9" w:rsidRDefault="00FF4608" w:rsidP="00FF4608">
            <w:pPr>
              <w:pStyle w:val="Correspondencedetails"/>
              <w:spacing w:before="0" w:line="240" w:lineRule="auto"/>
              <w:jc w:val="center"/>
            </w:pPr>
            <w:r w:rsidRPr="005641A9">
              <w:t>13.82</w:t>
            </w:r>
          </w:p>
          <w:p w14:paraId="47968269" w14:textId="77777777" w:rsidR="00FF4608" w:rsidRPr="005641A9" w:rsidRDefault="00FF4608" w:rsidP="00FF4608">
            <w:pPr>
              <w:pStyle w:val="Correspondencedetails"/>
              <w:spacing w:before="0" w:line="240" w:lineRule="auto"/>
              <w:jc w:val="center"/>
            </w:pPr>
            <w:r w:rsidRPr="005641A9">
              <w:t>(1.93)</w:t>
            </w:r>
          </w:p>
        </w:tc>
        <w:tc>
          <w:tcPr>
            <w:tcW w:w="554" w:type="pct"/>
            <w:tcBorders>
              <w:top w:val="single" w:sz="4" w:space="0" w:color="auto"/>
              <w:left w:val="nil"/>
              <w:bottom w:val="nil"/>
              <w:right w:val="nil"/>
            </w:tcBorders>
            <w:shd w:val="clear" w:color="auto" w:fill="auto"/>
            <w:vAlign w:val="center"/>
            <w:hideMark/>
          </w:tcPr>
          <w:p w14:paraId="7415E257" w14:textId="77777777" w:rsidR="00FF4608" w:rsidRPr="005641A9" w:rsidRDefault="00FF4608" w:rsidP="00FF4608">
            <w:pPr>
              <w:pStyle w:val="Correspondencedetails"/>
              <w:spacing w:before="0" w:line="240" w:lineRule="auto"/>
              <w:jc w:val="center"/>
            </w:pPr>
            <w:r w:rsidRPr="005641A9">
              <w:t>14.8</w:t>
            </w:r>
          </w:p>
          <w:p w14:paraId="0699088A" w14:textId="77777777" w:rsidR="00FF4608" w:rsidRPr="005641A9" w:rsidRDefault="00FF4608" w:rsidP="00FF4608">
            <w:pPr>
              <w:pStyle w:val="Correspondencedetails"/>
              <w:spacing w:before="0" w:line="240" w:lineRule="auto"/>
              <w:jc w:val="center"/>
            </w:pPr>
            <w:r w:rsidRPr="005641A9">
              <w:t>(1.45)</w:t>
            </w:r>
          </w:p>
        </w:tc>
        <w:tc>
          <w:tcPr>
            <w:tcW w:w="554" w:type="pct"/>
            <w:tcBorders>
              <w:top w:val="single" w:sz="4" w:space="0" w:color="auto"/>
              <w:left w:val="nil"/>
              <w:bottom w:val="nil"/>
              <w:right w:val="nil"/>
            </w:tcBorders>
            <w:shd w:val="clear" w:color="auto" w:fill="auto"/>
            <w:noWrap/>
            <w:vAlign w:val="center"/>
            <w:hideMark/>
          </w:tcPr>
          <w:p w14:paraId="37E93D05" w14:textId="77777777" w:rsidR="00FF4608" w:rsidRPr="005641A9" w:rsidRDefault="00FF4608" w:rsidP="00FF4608">
            <w:pPr>
              <w:pStyle w:val="Correspondencedetails"/>
              <w:spacing w:before="0" w:line="240" w:lineRule="auto"/>
              <w:jc w:val="center"/>
            </w:pPr>
            <w:r w:rsidRPr="005641A9">
              <w:t>.002**</w:t>
            </w:r>
          </w:p>
        </w:tc>
        <w:tc>
          <w:tcPr>
            <w:tcW w:w="555" w:type="pct"/>
            <w:tcBorders>
              <w:top w:val="single" w:sz="4" w:space="0" w:color="auto"/>
              <w:left w:val="nil"/>
              <w:bottom w:val="nil"/>
              <w:right w:val="nil"/>
            </w:tcBorders>
            <w:shd w:val="clear" w:color="auto" w:fill="auto"/>
            <w:noWrap/>
            <w:vAlign w:val="center"/>
            <w:hideMark/>
          </w:tcPr>
          <w:p w14:paraId="09D6CD13" w14:textId="77777777" w:rsidR="00FF4608" w:rsidRPr="005641A9" w:rsidRDefault="00FF4608" w:rsidP="00FF4608">
            <w:pPr>
              <w:pStyle w:val="Correspondencedetails"/>
              <w:spacing w:before="0" w:line="240" w:lineRule="auto"/>
              <w:jc w:val="center"/>
            </w:pPr>
            <w:r w:rsidRPr="005641A9">
              <w:t>.57</w:t>
            </w:r>
          </w:p>
        </w:tc>
      </w:tr>
      <w:tr w:rsidR="00FF4608" w:rsidRPr="005641A9" w14:paraId="6BD0A45F" w14:textId="77777777" w:rsidTr="00FF4608">
        <w:trPr>
          <w:trHeight w:val="360"/>
        </w:trPr>
        <w:tc>
          <w:tcPr>
            <w:tcW w:w="1287" w:type="pct"/>
            <w:vMerge/>
            <w:tcBorders>
              <w:left w:val="nil"/>
              <w:right w:val="nil"/>
            </w:tcBorders>
            <w:vAlign w:val="center"/>
          </w:tcPr>
          <w:p w14:paraId="00BCE996" w14:textId="77777777" w:rsidR="00FF4608" w:rsidRPr="005641A9" w:rsidRDefault="00FF4608" w:rsidP="002272BE">
            <w:pPr>
              <w:pStyle w:val="Correspondencedetails"/>
              <w:spacing w:before="0" w:line="240" w:lineRule="auto"/>
              <w:jc w:val="both"/>
            </w:pPr>
          </w:p>
        </w:tc>
        <w:tc>
          <w:tcPr>
            <w:tcW w:w="1496" w:type="pct"/>
            <w:tcBorders>
              <w:top w:val="nil"/>
              <w:left w:val="nil"/>
              <w:bottom w:val="nil"/>
              <w:right w:val="nil"/>
            </w:tcBorders>
            <w:shd w:val="clear" w:color="auto" w:fill="auto"/>
            <w:vAlign w:val="center"/>
          </w:tcPr>
          <w:p w14:paraId="6A59D510" w14:textId="77777777" w:rsidR="00FF4608" w:rsidRPr="005641A9" w:rsidRDefault="00FF4608" w:rsidP="002272BE">
            <w:pPr>
              <w:pStyle w:val="Correspondencedetails"/>
              <w:spacing w:before="0" w:line="240" w:lineRule="auto"/>
              <w:jc w:val="both"/>
              <w:rPr>
                <w:color w:val="000000" w:themeColor="text1"/>
              </w:rPr>
            </w:pPr>
            <w:r w:rsidRPr="005641A9">
              <w:t>Text Comprehension</w:t>
            </w:r>
          </w:p>
        </w:tc>
        <w:tc>
          <w:tcPr>
            <w:tcW w:w="554" w:type="pct"/>
            <w:tcBorders>
              <w:top w:val="nil"/>
              <w:left w:val="nil"/>
              <w:bottom w:val="nil"/>
              <w:right w:val="nil"/>
            </w:tcBorders>
            <w:shd w:val="clear" w:color="auto" w:fill="auto"/>
            <w:vAlign w:val="center"/>
          </w:tcPr>
          <w:p w14:paraId="134FC226" w14:textId="77777777" w:rsidR="00FF4608" w:rsidRPr="005641A9" w:rsidRDefault="00FF4608" w:rsidP="00FF4608">
            <w:pPr>
              <w:pStyle w:val="Correspondencedetails"/>
              <w:spacing w:before="0" w:line="240" w:lineRule="auto"/>
              <w:jc w:val="center"/>
            </w:pPr>
            <w:r w:rsidRPr="005641A9">
              <w:t>9.42</w:t>
            </w:r>
          </w:p>
          <w:p w14:paraId="75D7E9FE" w14:textId="77777777" w:rsidR="00FF4608" w:rsidRPr="005641A9" w:rsidRDefault="00FF4608" w:rsidP="00FF4608">
            <w:pPr>
              <w:pStyle w:val="Correspondencedetails"/>
              <w:spacing w:before="0" w:line="240" w:lineRule="auto"/>
              <w:jc w:val="center"/>
            </w:pPr>
            <w:r w:rsidRPr="005641A9">
              <w:t>(2.99)</w:t>
            </w:r>
          </w:p>
        </w:tc>
        <w:tc>
          <w:tcPr>
            <w:tcW w:w="554" w:type="pct"/>
            <w:tcBorders>
              <w:top w:val="nil"/>
              <w:left w:val="nil"/>
              <w:bottom w:val="nil"/>
              <w:right w:val="nil"/>
            </w:tcBorders>
            <w:shd w:val="clear" w:color="auto" w:fill="auto"/>
            <w:vAlign w:val="center"/>
          </w:tcPr>
          <w:p w14:paraId="7738AC55" w14:textId="77777777" w:rsidR="00FF4608" w:rsidRPr="005641A9" w:rsidRDefault="00FF4608" w:rsidP="00FF4608">
            <w:pPr>
              <w:pStyle w:val="Correspondencedetails"/>
              <w:spacing w:before="0" w:line="240" w:lineRule="auto"/>
              <w:jc w:val="center"/>
            </w:pPr>
            <w:r w:rsidRPr="005641A9">
              <w:t>10.55</w:t>
            </w:r>
          </w:p>
          <w:p w14:paraId="54382AD8" w14:textId="77777777" w:rsidR="00FF4608" w:rsidRPr="005641A9" w:rsidRDefault="00FF4608" w:rsidP="00FF4608">
            <w:pPr>
              <w:pStyle w:val="Correspondencedetails"/>
              <w:spacing w:before="0" w:line="240" w:lineRule="auto"/>
              <w:jc w:val="center"/>
            </w:pPr>
            <w:r w:rsidRPr="005641A9">
              <w:t>(2.9)</w:t>
            </w:r>
          </w:p>
        </w:tc>
        <w:tc>
          <w:tcPr>
            <w:tcW w:w="554" w:type="pct"/>
            <w:tcBorders>
              <w:top w:val="nil"/>
              <w:left w:val="nil"/>
              <w:bottom w:val="nil"/>
              <w:right w:val="nil"/>
            </w:tcBorders>
            <w:shd w:val="clear" w:color="auto" w:fill="auto"/>
            <w:noWrap/>
            <w:vAlign w:val="center"/>
          </w:tcPr>
          <w:p w14:paraId="09D084F4" w14:textId="77777777" w:rsidR="00FF4608" w:rsidRPr="005641A9" w:rsidRDefault="00FF4608" w:rsidP="00FF4608">
            <w:pPr>
              <w:pStyle w:val="Correspondencedetails"/>
              <w:spacing w:before="0" w:line="240" w:lineRule="auto"/>
              <w:jc w:val="center"/>
            </w:pPr>
            <w:r w:rsidRPr="005641A9">
              <w:t>.041*</w:t>
            </w:r>
          </w:p>
        </w:tc>
        <w:tc>
          <w:tcPr>
            <w:tcW w:w="555" w:type="pct"/>
            <w:tcBorders>
              <w:top w:val="nil"/>
              <w:left w:val="nil"/>
              <w:bottom w:val="nil"/>
              <w:right w:val="nil"/>
            </w:tcBorders>
            <w:shd w:val="clear" w:color="auto" w:fill="auto"/>
            <w:noWrap/>
            <w:vAlign w:val="center"/>
          </w:tcPr>
          <w:p w14:paraId="1F892802" w14:textId="1562F45A" w:rsidR="00FF4608" w:rsidRPr="005641A9" w:rsidRDefault="00FF4608" w:rsidP="00FF4608">
            <w:pPr>
              <w:pStyle w:val="Correspondencedetails"/>
              <w:spacing w:before="0" w:line="240" w:lineRule="auto"/>
              <w:jc w:val="center"/>
            </w:pPr>
            <w:r w:rsidRPr="005641A9">
              <w:t>.38</w:t>
            </w:r>
          </w:p>
        </w:tc>
      </w:tr>
      <w:tr w:rsidR="00FF4608" w:rsidRPr="005641A9" w14:paraId="6845CC8E" w14:textId="77777777" w:rsidTr="00FF4608">
        <w:trPr>
          <w:trHeight w:val="360"/>
        </w:trPr>
        <w:tc>
          <w:tcPr>
            <w:tcW w:w="1287" w:type="pct"/>
            <w:vMerge/>
            <w:tcBorders>
              <w:left w:val="nil"/>
              <w:bottom w:val="nil"/>
              <w:right w:val="nil"/>
            </w:tcBorders>
            <w:vAlign w:val="center"/>
          </w:tcPr>
          <w:p w14:paraId="3E3ED3F0" w14:textId="77777777" w:rsidR="00FF4608" w:rsidRPr="005641A9" w:rsidRDefault="00FF4608" w:rsidP="002272BE">
            <w:pPr>
              <w:pStyle w:val="Correspondencedetails"/>
              <w:spacing w:before="0" w:line="240" w:lineRule="auto"/>
              <w:jc w:val="both"/>
            </w:pPr>
          </w:p>
        </w:tc>
        <w:tc>
          <w:tcPr>
            <w:tcW w:w="1496" w:type="pct"/>
            <w:tcBorders>
              <w:top w:val="nil"/>
              <w:left w:val="nil"/>
              <w:bottom w:val="nil"/>
              <w:right w:val="nil"/>
            </w:tcBorders>
            <w:shd w:val="clear" w:color="auto" w:fill="auto"/>
            <w:vAlign w:val="center"/>
            <w:hideMark/>
          </w:tcPr>
          <w:p w14:paraId="0B5568BF" w14:textId="77777777" w:rsidR="00FF4608" w:rsidRPr="005641A9" w:rsidRDefault="00FF4608" w:rsidP="002272BE">
            <w:pPr>
              <w:pStyle w:val="Correspondencedetails"/>
              <w:spacing w:before="0" w:line="240" w:lineRule="auto"/>
              <w:jc w:val="both"/>
            </w:pPr>
            <w:r w:rsidRPr="005641A9">
              <w:t>Oral Comprehension</w:t>
            </w:r>
          </w:p>
        </w:tc>
        <w:tc>
          <w:tcPr>
            <w:tcW w:w="554" w:type="pct"/>
            <w:tcBorders>
              <w:top w:val="nil"/>
              <w:left w:val="nil"/>
              <w:bottom w:val="nil"/>
              <w:right w:val="nil"/>
            </w:tcBorders>
            <w:shd w:val="clear" w:color="auto" w:fill="auto"/>
            <w:vAlign w:val="center"/>
            <w:hideMark/>
          </w:tcPr>
          <w:p w14:paraId="66A01098" w14:textId="77777777" w:rsidR="00FF4608" w:rsidRPr="005641A9" w:rsidRDefault="00FF4608" w:rsidP="00FF4608">
            <w:pPr>
              <w:pStyle w:val="Correspondencedetails"/>
              <w:spacing w:before="0" w:line="240" w:lineRule="auto"/>
              <w:jc w:val="center"/>
            </w:pPr>
            <w:r w:rsidRPr="005641A9">
              <w:t>3.02</w:t>
            </w:r>
          </w:p>
          <w:p w14:paraId="25A993AD" w14:textId="77777777" w:rsidR="00FF4608" w:rsidRPr="005641A9" w:rsidRDefault="00FF4608" w:rsidP="00FF4608">
            <w:pPr>
              <w:pStyle w:val="Correspondencedetails"/>
              <w:spacing w:before="0" w:line="240" w:lineRule="auto"/>
              <w:jc w:val="center"/>
            </w:pPr>
            <w:r w:rsidRPr="005641A9">
              <w:t>(1.58)</w:t>
            </w:r>
          </w:p>
        </w:tc>
        <w:tc>
          <w:tcPr>
            <w:tcW w:w="554" w:type="pct"/>
            <w:tcBorders>
              <w:top w:val="nil"/>
              <w:left w:val="nil"/>
              <w:bottom w:val="nil"/>
              <w:right w:val="nil"/>
            </w:tcBorders>
            <w:shd w:val="clear" w:color="auto" w:fill="auto"/>
            <w:vAlign w:val="center"/>
            <w:hideMark/>
          </w:tcPr>
          <w:p w14:paraId="7593225F" w14:textId="77777777" w:rsidR="00FF4608" w:rsidRPr="005641A9" w:rsidRDefault="00FF4608" w:rsidP="00FF4608">
            <w:pPr>
              <w:pStyle w:val="Correspondencedetails"/>
              <w:spacing w:before="0" w:line="240" w:lineRule="auto"/>
              <w:jc w:val="center"/>
            </w:pPr>
            <w:r w:rsidRPr="005641A9">
              <w:t>3.35</w:t>
            </w:r>
          </w:p>
          <w:p w14:paraId="289A7E24" w14:textId="77777777" w:rsidR="00FF4608" w:rsidRPr="005641A9" w:rsidRDefault="00FF4608" w:rsidP="00FF4608">
            <w:pPr>
              <w:pStyle w:val="Correspondencedetails"/>
              <w:spacing w:before="0" w:line="240" w:lineRule="auto"/>
              <w:jc w:val="center"/>
            </w:pPr>
            <w:r w:rsidRPr="005641A9">
              <w:t>(1.58)</w:t>
            </w:r>
          </w:p>
        </w:tc>
        <w:tc>
          <w:tcPr>
            <w:tcW w:w="554" w:type="pct"/>
            <w:tcBorders>
              <w:top w:val="nil"/>
              <w:left w:val="nil"/>
              <w:bottom w:val="nil"/>
              <w:right w:val="nil"/>
            </w:tcBorders>
            <w:shd w:val="clear" w:color="auto" w:fill="auto"/>
            <w:noWrap/>
            <w:vAlign w:val="center"/>
            <w:hideMark/>
          </w:tcPr>
          <w:p w14:paraId="49E5E6A5" w14:textId="77777777" w:rsidR="00FF4608" w:rsidRPr="005641A9" w:rsidRDefault="00FF4608" w:rsidP="00FF4608">
            <w:pPr>
              <w:pStyle w:val="Correspondencedetails"/>
              <w:spacing w:before="0" w:line="240" w:lineRule="auto"/>
              <w:jc w:val="center"/>
            </w:pPr>
            <w:r w:rsidRPr="005641A9">
              <w:t>.110</w:t>
            </w:r>
          </w:p>
        </w:tc>
        <w:tc>
          <w:tcPr>
            <w:tcW w:w="555" w:type="pct"/>
            <w:tcBorders>
              <w:top w:val="nil"/>
              <w:left w:val="nil"/>
              <w:bottom w:val="nil"/>
              <w:right w:val="nil"/>
            </w:tcBorders>
            <w:shd w:val="clear" w:color="auto" w:fill="auto"/>
            <w:noWrap/>
            <w:vAlign w:val="center"/>
            <w:hideMark/>
          </w:tcPr>
          <w:p w14:paraId="13CE314B" w14:textId="77777777" w:rsidR="00FF4608" w:rsidRPr="005641A9" w:rsidRDefault="00FF4608" w:rsidP="00FF4608">
            <w:pPr>
              <w:pStyle w:val="Correspondencedetails"/>
              <w:spacing w:before="0" w:line="240" w:lineRule="auto"/>
              <w:jc w:val="center"/>
            </w:pPr>
            <w:r w:rsidRPr="005641A9">
              <w:t>.20</w:t>
            </w:r>
          </w:p>
        </w:tc>
      </w:tr>
      <w:tr w:rsidR="00FF4608" w:rsidRPr="005641A9" w14:paraId="2624FE7B" w14:textId="77777777" w:rsidTr="00FF4608">
        <w:trPr>
          <w:trHeight w:val="300"/>
        </w:trPr>
        <w:tc>
          <w:tcPr>
            <w:tcW w:w="5000" w:type="pct"/>
            <w:gridSpan w:val="6"/>
            <w:tcBorders>
              <w:top w:val="single" w:sz="4" w:space="0" w:color="auto"/>
              <w:left w:val="nil"/>
              <w:bottom w:val="nil"/>
              <w:right w:val="nil"/>
            </w:tcBorders>
            <w:vAlign w:val="center"/>
          </w:tcPr>
          <w:p w14:paraId="58C55A45" w14:textId="77777777" w:rsidR="00FF4608" w:rsidRPr="005641A9" w:rsidRDefault="00FF4608" w:rsidP="00FF4608">
            <w:pPr>
              <w:pStyle w:val="Correspondencedetails"/>
              <w:spacing w:before="0" w:line="240" w:lineRule="auto"/>
            </w:pPr>
            <w:r w:rsidRPr="005641A9">
              <w:t>*</w:t>
            </w:r>
            <w:r w:rsidRPr="005641A9">
              <w:rPr>
                <w:i/>
                <w:iCs/>
              </w:rPr>
              <w:t>p</w:t>
            </w:r>
            <w:r w:rsidRPr="005641A9">
              <w:t xml:space="preserve"> &lt; .05; **</w:t>
            </w:r>
            <w:r w:rsidRPr="005641A9">
              <w:rPr>
                <w:i/>
                <w:iCs/>
              </w:rPr>
              <w:t>p</w:t>
            </w:r>
            <w:r w:rsidRPr="005641A9">
              <w:t xml:space="preserve"> &lt; .001</w:t>
            </w:r>
          </w:p>
        </w:tc>
      </w:tr>
    </w:tbl>
    <w:p w14:paraId="098AB58E" w14:textId="77777777" w:rsidR="00FF4608" w:rsidRPr="005641A9" w:rsidRDefault="00FF4608" w:rsidP="00FF4608">
      <w:pPr>
        <w:spacing w:line="240" w:lineRule="auto"/>
        <w:ind w:firstLine="0"/>
        <w:jc w:val="both"/>
        <w:rPr>
          <w:szCs w:val="24"/>
          <w:lang w:val="en-GB"/>
        </w:rPr>
      </w:pPr>
    </w:p>
    <w:p w14:paraId="74A80729" w14:textId="77777777" w:rsidR="00FF4608" w:rsidRPr="005641A9" w:rsidRDefault="00FF4608" w:rsidP="002E1E22">
      <w:pPr>
        <w:spacing w:line="240" w:lineRule="auto"/>
        <w:ind w:firstLine="708"/>
        <w:jc w:val="both"/>
        <w:rPr>
          <w:szCs w:val="24"/>
          <w:lang w:val="en-GB"/>
        </w:rPr>
      </w:pPr>
    </w:p>
    <w:p w14:paraId="2A44DFE2" w14:textId="39B0540D" w:rsidR="00721E4B" w:rsidRPr="005641A9" w:rsidRDefault="4E41FCBB" w:rsidP="002E1E22">
      <w:pPr>
        <w:spacing w:line="240" w:lineRule="auto"/>
        <w:jc w:val="both"/>
        <w:rPr>
          <w:szCs w:val="24"/>
          <w:lang w:val="en-GB"/>
        </w:rPr>
      </w:pPr>
      <w:r w:rsidRPr="005641A9">
        <w:rPr>
          <w:szCs w:val="24"/>
          <w:lang w:val="en-GB"/>
        </w:rPr>
        <w:lastRenderedPageBreak/>
        <w:t>Concerning</w:t>
      </w:r>
      <w:r w:rsidR="00721E4B" w:rsidRPr="005641A9">
        <w:rPr>
          <w:szCs w:val="24"/>
          <w:lang w:val="en-GB"/>
        </w:rPr>
        <w:t xml:space="preserve"> the grammatical processes, the results indicated that there were significant differences in the punctuation marks task (</w:t>
      </w:r>
      <w:r w:rsidR="00721E4B" w:rsidRPr="005641A9">
        <w:rPr>
          <w:i/>
          <w:iCs/>
          <w:szCs w:val="24"/>
          <w:lang w:val="en-GB"/>
        </w:rPr>
        <w:t>p</w:t>
      </w:r>
      <w:r w:rsidR="00721E4B" w:rsidRPr="005641A9">
        <w:rPr>
          <w:szCs w:val="24"/>
          <w:lang w:val="en-GB"/>
        </w:rPr>
        <w:t xml:space="preserve"> = 0.009; </w:t>
      </w:r>
      <w:r w:rsidR="00721E4B" w:rsidRPr="005641A9">
        <w:rPr>
          <w:i/>
          <w:iCs/>
          <w:szCs w:val="24"/>
          <w:lang w:val="en-GB"/>
        </w:rPr>
        <w:t>d</w:t>
      </w:r>
      <w:r w:rsidR="00721E4B" w:rsidRPr="005641A9">
        <w:rPr>
          <w:szCs w:val="24"/>
          <w:lang w:val="en-GB"/>
        </w:rPr>
        <w:t xml:space="preserve"> = 0.56), with the IS</w:t>
      </w:r>
      <w:r w:rsidR="00521D41" w:rsidRPr="005641A9">
        <w:rPr>
          <w:szCs w:val="24"/>
          <w:lang w:val="en-GB"/>
        </w:rPr>
        <w:t>G</w:t>
      </w:r>
      <w:r w:rsidR="00721E4B" w:rsidRPr="005641A9">
        <w:rPr>
          <w:szCs w:val="24"/>
          <w:lang w:val="en-GB"/>
        </w:rPr>
        <w:t xml:space="preserve"> group presenting a worse performance than the CG. These data partially confirmed the third hypothesis. </w:t>
      </w:r>
    </w:p>
    <w:p w14:paraId="5B822191" w14:textId="5956B14C" w:rsidR="004062A7" w:rsidRPr="005641A9" w:rsidRDefault="00627A32" w:rsidP="002E1E22">
      <w:pPr>
        <w:spacing w:line="240" w:lineRule="auto"/>
        <w:ind w:firstLine="720"/>
        <w:jc w:val="both"/>
        <w:rPr>
          <w:szCs w:val="24"/>
          <w:lang w:val="en-GB"/>
        </w:rPr>
      </w:pPr>
      <w:r w:rsidRPr="005641A9">
        <w:rPr>
          <w:szCs w:val="24"/>
          <w:lang w:val="en-GB"/>
        </w:rPr>
        <w:t>In relation to semantic processes, significant differences were found in visual reading comprehension. The IS</w:t>
      </w:r>
      <w:r w:rsidR="004D5013" w:rsidRPr="005641A9">
        <w:rPr>
          <w:szCs w:val="24"/>
          <w:lang w:val="en-GB"/>
        </w:rPr>
        <w:t xml:space="preserve">G </w:t>
      </w:r>
      <w:r w:rsidRPr="005641A9">
        <w:rPr>
          <w:szCs w:val="24"/>
          <w:lang w:val="en-GB"/>
        </w:rPr>
        <w:t>showed low marks compared to the CG</w:t>
      </w:r>
      <w:r w:rsidR="3E2482E3" w:rsidRPr="005641A9">
        <w:rPr>
          <w:szCs w:val="24"/>
          <w:lang w:val="en-GB"/>
        </w:rPr>
        <w:t>.</w:t>
      </w:r>
      <w:r w:rsidRPr="005641A9">
        <w:rPr>
          <w:szCs w:val="24"/>
          <w:lang w:val="en-GB"/>
        </w:rPr>
        <w:t xml:space="preserve"> Indeed, the results showed that the IS</w:t>
      </w:r>
      <w:r w:rsidR="004D5013" w:rsidRPr="005641A9">
        <w:rPr>
          <w:szCs w:val="24"/>
          <w:lang w:val="en-GB"/>
        </w:rPr>
        <w:t xml:space="preserve">G </w:t>
      </w:r>
      <w:r w:rsidRPr="005641A9">
        <w:rPr>
          <w:szCs w:val="24"/>
          <w:lang w:val="en-GB"/>
        </w:rPr>
        <w:t>had significantly lower performances in visual reading comprehension, specifically in the measure of Sentence Comprehension (</w:t>
      </w:r>
      <w:r w:rsidRPr="005641A9">
        <w:rPr>
          <w:i/>
          <w:iCs/>
          <w:szCs w:val="24"/>
          <w:lang w:val="en-GB"/>
        </w:rPr>
        <w:t>p</w:t>
      </w:r>
      <w:r w:rsidRPr="005641A9">
        <w:rPr>
          <w:szCs w:val="24"/>
          <w:lang w:val="en-GB"/>
        </w:rPr>
        <w:t xml:space="preserve"> = 0.02; </w:t>
      </w:r>
      <w:r w:rsidRPr="005641A9">
        <w:rPr>
          <w:i/>
          <w:iCs/>
          <w:szCs w:val="24"/>
          <w:lang w:val="en-GB"/>
        </w:rPr>
        <w:t>d</w:t>
      </w:r>
      <w:r w:rsidRPr="005641A9">
        <w:rPr>
          <w:szCs w:val="24"/>
          <w:lang w:val="en-GB"/>
        </w:rPr>
        <w:t xml:space="preserve"> = 0.57), and the measure of Text Comprehension (</w:t>
      </w:r>
      <w:r w:rsidRPr="005641A9">
        <w:rPr>
          <w:i/>
          <w:iCs/>
          <w:szCs w:val="24"/>
          <w:lang w:val="en-GB"/>
        </w:rPr>
        <w:t>p</w:t>
      </w:r>
      <w:r w:rsidRPr="005641A9">
        <w:rPr>
          <w:szCs w:val="24"/>
          <w:lang w:val="en-GB"/>
        </w:rPr>
        <w:t xml:space="preserve"> = 0.04; </w:t>
      </w:r>
      <w:r w:rsidRPr="005641A9">
        <w:rPr>
          <w:i/>
          <w:iCs/>
          <w:szCs w:val="24"/>
          <w:lang w:val="en-GB"/>
        </w:rPr>
        <w:t>d</w:t>
      </w:r>
      <w:r w:rsidRPr="005641A9">
        <w:rPr>
          <w:szCs w:val="24"/>
          <w:lang w:val="en-GB"/>
        </w:rPr>
        <w:t xml:space="preserve"> = 0.38). </w:t>
      </w:r>
    </w:p>
    <w:p w14:paraId="6DDC95E9" w14:textId="77777777" w:rsidR="00E00B56" w:rsidRPr="005641A9" w:rsidRDefault="00E00B56" w:rsidP="002E1E22">
      <w:pPr>
        <w:spacing w:line="240" w:lineRule="auto"/>
        <w:ind w:firstLine="720"/>
        <w:jc w:val="both"/>
        <w:rPr>
          <w:szCs w:val="24"/>
          <w:lang w:val="en-GB"/>
        </w:rPr>
      </w:pPr>
    </w:p>
    <w:p w14:paraId="06989E8A" w14:textId="2556B0F6" w:rsidR="004B3CCD" w:rsidRPr="005641A9" w:rsidRDefault="001C1939" w:rsidP="002E1E22">
      <w:pPr>
        <w:spacing w:line="240" w:lineRule="auto"/>
        <w:ind w:firstLine="0"/>
        <w:jc w:val="both"/>
        <w:rPr>
          <w:b/>
          <w:bCs/>
          <w:szCs w:val="24"/>
          <w:lang w:val="en-GB"/>
        </w:rPr>
      </w:pPr>
      <w:bookmarkStart w:id="15" w:name="_Toc40025295"/>
      <w:bookmarkEnd w:id="12"/>
      <w:bookmarkEnd w:id="13"/>
      <w:bookmarkEnd w:id="14"/>
      <w:r w:rsidRPr="005641A9">
        <w:rPr>
          <w:b/>
          <w:bCs/>
          <w:szCs w:val="24"/>
          <w:lang w:val="en-GB"/>
        </w:rPr>
        <w:t>Discussion</w:t>
      </w:r>
    </w:p>
    <w:p w14:paraId="6EE90729" w14:textId="5E381913" w:rsidR="004B6907" w:rsidRPr="005641A9" w:rsidRDefault="001C1939" w:rsidP="002E1E22">
      <w:pPr>
        <w:spacing w:line="240" w:lineRule="auto"/>
        <w:jc w:val="both"/>
        <w:rPr>
          <w:rFonts w:eastAsia="Times New Roman"/>
          <w:szCs w:val="24"/>
          <w:lang w:val="en-GB"/>
        </w:rPr>
      </w:pPr>
      <w:r w:rsidRPr="005641A9">
        <w:rPr>
          <w:szCs w:val="24"/>
          <w:lang w:val="en-GB"/>
        </w:rPr>
        <w:t>The main purpose of this research was to distinguish the reading skills of children with and without Irlen</w:t>
      </w:r>
      <w:r w:rsidR="00C55A98" w:rsidRPr="005641A9">
        <w:rPr>
          <w:szCs w:val="24"/>
          <w:lang w:val="en-GB"/>
        </w:rPr>
        <w:t>’</w:t>
      </w:r>
      <w:r w:rsidRPr="005641A9">
        <w:rPr>
          <w:szCs w:val="24"/>
          <w:lang w:val="en-GB"/>
        </w:rPr>
        <w:t>s syndrome. For the differential analysis, the skills considered by Cuetos et al. (2009) were taken as references: Letter identification capacity, Lexical, Grammar, and Semantic Processes.</w:t>
      </w:r>
    </w:p>
    <w:p w14:paraId="1C677D4A" w14:textId="04ED08C4" w:rsidR="001E4A1E" w:rsidRPr="005641A9" w:rsidRDefault="00323CF1" w:rsidP="002E1E22">
      <w:pPr>
        <w:spacing w:line="240" w:lineRule="auto"/>
        <w:jc w:val="both"/>
        <w:rPr>
          <w:rFonts w:eastAsia="Times New Roman"/>
          <w:szCs w:val="24"/>
          <w:lang w:val="en-GB"/>
        </w:rPr>
      </w:pPr>
      <w:r w:rsidRPr="005641A9">
        <w:rPr>
          <w:rFonts w:eastAsia="Times New Roman"/>
          <w:szCs w:val="24"/>
          <w:lang w:val="en-GB"/>
        </w:rPr>
        <w:t xml:space="preserve">The fact that no </w:t>
      </w:r>
      <w:r w:rsidR="4379D923" w:rsidRPr="005641A9">
        <w:rPr>
          <w:rFonts w:eastAsia="Times New Roman"/>
          <w:szCs w:val="24"/>
          <w:lang w:val="en-GB"/>
        </w:rPr>
        <w:t xml:space="preserve">significant differences </w:t>
      </w:r>
      <w:r w:rsidRPr="005641A9">
        <w:rPr>
          <w:rFonts w:eastAsia="Times New Roman"/>
          <w:szCs w:val="24"/>
          <w:lang w:val="en-GB"/>
        </w:rPr>
        <w:t xml:space="preserve">were found </w:t>
      </w:r>
      <w:r w:rsidR="4379D923" w:rsidRPr="005641A9">
        <w:rPr>
          <w:rFonts w:eastAsia="Times New Roman"/>
          <w:szCs w:val="24"/>
          <w:lang w:val="en-GB"/>
        </w:rPr>
        <w:t>in the ability to identify letters allowed us to confirm the first hypothesis. This condition that both groups maintained a good performance in this skill allowed us to suppose that essential processes such as letter identification could not be affecting the children</w:t>
      </w:r>
      <w:r w:rsidR="00C55A98" w:rsidRPr="005641A9">
        <w:rPr>
          <w:rFonts w:eastAsia="Times New Roman"/>
          <w:szCs w:val="24"/>
          <w:lang w:val="en-GB"/>
        </w:rPr>
        <w:t>’</w:t>
      </w:r>
      <w:r w:rsidR="4379D923" w:rsidRPr="005641A9">
        <w:rPr>
          <w:rFonts w:eastAsia="Times New Roman"/>
          <w:szCs w:val="24"/>
          <w:lang w:val="en-GB"/>
        </w:rPr>
        <w:t>s reading skills. Phonological processing and naming speed are precursors to learning to read and write (Perfetti &amp; Staffura, 2014). In fact, according to Perfetti (1994), speedy naming is a predictor of literacy.</w:t>
      </w:r>
      <w:r w:rsidR="007135A4" w:rsidRPr="005641A9">
        <w:rPr>
          <w:rFonts w:eastAsia="Times New Roman"/>
          <w:szCs w:val="24"/>
          <w:lang w:val="en-GB"/>
        </w:rPr>
        <w:t xml:space="preserve"> T</w:t>
      </w:r>
      <w:r w:rsidR="4379D923" w:rsidRPr="005641A9">
        <w:rPr>
          <w:rFonts w:eastAsia="Times New Roman"/>
          <w:szCs w:val="24"/>
          <w:lang w:val="en-GB"/>
        </w:rPr>
        <w:t xml:space="preserve">his essential condition for reading was fully acquired </w:t>
      </w:r>
      <w:r w:rsidR="007135A4" w:rsidRPr="005641A9">
        <w:rPr>
          <w:rFonts w:eastAsia="Times New Roman"/>
          <w:szCs w:val="24"/>
          <w:lang w:val="en-GB"/>
        </w:rPr>
        <w:t xml:space="preserve">in </w:t>
      </w:r>
      <w:r w:rsidR="4379D923" w:rsidRPr="005641A9">
        <w:rPr>
          <w:rFonts w:eastAsia="Times New Roman"/>
          <w:szCs w:val="24"/>
          <w:lang w:val="en-GB"/>
        </w:rPr>
        <w:t xml:space="preserve">both groups and </w:t>
      </w:r>
      <w:r w:rsidR="002B6C6C" w:rsidRPr="005641A9">
        <w:rPr>
          <w:rFonts w:eastAsia="Times New Roman"/>
          <w:szCs w:val="24"/>
          <w:lang w:val="en-GB"/>
        </w:rPr>
        <w:t xml:space="preserve">therefore </w:t>
      </w:r>
      <w:r w:rsidR="4379D923" w:rsidRPr="005641A9">
        <w:rPr>
          <w:rFonts w:eastAsia="Times New Roman"/>
          <w:szCs w:val="24"/>
          <w:lang w:val="en-GB"/>
        </w:rPr>
        <w:t>was not a variable that interfere</w:t>
      </w:r>
      <w:r w:rsidR="002B6C6C" w:rsidRPr="005641A9">
        <w:rPr>
          <w:rFonts w:eastAsia="Times New Roman"/>
          <w:szCs w:val="24"/>
          <w:lang w:val="en-GB"/>
        </w:rPr>
        <w:t>d</w:t>
      </w:r>
      <w:r w:rsidR="4379D923" w:rsidRPr="005641A9">
        <w:rPr>
          <w:rFonts w:eastAsia="Times New Roman"/>
          <w:szCs w:val="24"/>
          <w:lang w:val="en-GB"/>
        </w:rPr>
        <w:t xml:space="preserve"> with the interpretation of the lat</w:t>
      </w:r>
      <w:r w:rsidR="003271D4" w:rsidRPr="005641A9">
        <w:rPr>
          <w:rFonts w:eastAsia="Times New Roman"/>
          <w:szCs w:val="24"/>
          <w:lang w:val="en-GB"/>
        </w:rPr>
        <w:t>t</w:t>
      </w:r>
      <w:r w:rsidR="4379D923" w:rsidRPr="005641A9">
        <w:rPr>
          <w:rFonts w:eastAsia="Times New Roman"/>
          <w:szCs w:val="24"/>
          <w:lang w:val="en-GB"/>
        </w:rPr>
        <w:t>er results.</w:t>
      </w:r>
    </w:p>
    <w:p w14:paraId="1E51B7F2" w14:textId="55BE2068" w:rsidR="4379D923" w:rsidRPr="005641A9" w:rsidRDefault="4379D923" w:rsidP="002E1E22">
      <w:pPr>
        <w:spacing w:line="240" w:lineRule="auto"/>
        <w:jc w:val="both"/>
        <w:rPr>
          <w:szCs w:val="24"/>
          <w:lang w:val="en-GB"/>
        </w:rPr>
      </w:pPr>
      <w:r w:rsidRPr="005641A9">
        <w:rPr>
          <w:szCs w:val="24"/>
          <w:lang w:val="en-GB"/>
        </w:rPr>
        <w:t>Children with Irlen Syndrome perform</w:t>
      </w:r>
      <w:r w:rsidR="002B6C6C" w:rsidRPr="005641A9">
        <w:rPr>
          <w:szCs w:val="24"/>
          <w:lang w:val="en-GB"/>
        </w:rPr>
        <w:t>ed</w:t>
      </w:r>
      <w:r w:rsidRPr="005641A9">
        <w:rPr>
          <w:szCs w:val="24"/>
          <w:lang w:val="en-GB"/>
        </w:rPr>
        <w:t xml:space="preserve"> at the same level as those without it because, on letter identification tests, the effort is not the same as when they read a complete text. In the identification t</w:t>
      </w:r>
      <w:r w:rsidR="007F4C49" w:rsidRPr="005641A9">
        <w:rPr>
          <w:szCs w:val="24"/>
          <w:lang w:val="en-GB"/>
        </w:rPr>
        <w:t>ask</w:t>
      </w:r>
      <w:r w:rsidRPr="005641A9">
        <w:rPr>
          <w:szCs w:val="24"/>
          <w:lang w:val="en-GB"/>
        </w:rPr>
        <w:t xml:space="preserve">, all the children had to recognize isolated letters taken out of context without being part of a paragraph. When reading entire lines of a text, for those who suffer from IS, the effort is greater due to the presence of line patterns in reading texts on white backgrounds that can trigger the presence of visual distortions and physical discomfort when reading which are the </w:t>
      </w:r>
      <w:r w:rsidR="007F4C49" w:rsidRPr="005641A9">
        <w:rPr>
          <w:szCs w:val="24"/>
          <w:lang w:val="en-GB"/>
        </w:rPr>
        <w:t xml:space="preserve">hallmarks of </w:t>
      </w:r>
      <w:r w:rsidRPr="005641A9">
        <w:rPr>
          <w:szCs w:val="24"/>
          <w:lang w:val="en-GB"/>
        </w:rPr>
        <w:t xml:space="preserve">Irlen Syndrome symptomatology and developmental dyslexia (Stein 2018; Vilhena, et al, 2021). </w:t>
      </w:r>
    </w:p>
    <w:p w14:paraId="17F09480" w14:textId="2DEBCA8B" w:rsidR="009F5823" w:rsidRPr="005641A9" w:rsidRDefault="001C1939" w:rsidP="002E1E22">
      <w:pPr>
        <w:spacing w:line="240" w:lineRule="auto"/>
        <w:jc w:val="both"/>
        <w:rPr>
          <w:szCs w:val="24"/>
          <w:lang w:val="en-GB"/>
        </w:rPr>
      </w:pPr>
      <w:r w:rsidRPr="005641A9">
        <w:rPr>
          <w:szCs w:val="24"/>
          <w:lang w:val="en-GB"/>
        </w:rPr>
        <w:t>However, despite maintaining good performance by both groups, significant differences were found in the more complex skills</w:t>
      </w:r>
      <w:r w:rsidR="002A4A9F" w:rsidRPr="005641A9">
        <w:rPr>
          <w:szCs w:val="24"/>
          <w:lang w:val="en-GB"/>
        </w:rPr>
        <w:t>,</w:t>
      </w:r>
      <w:r w:rsidRPr="005641A9">
        <w:rPr>
          <w:szCs w:val="24"/>
          <w:lang w:val="en-GB"/>
        </w:rPr>
        <w:t xml:space="preserve"> such as inferential understanding. Concerning lexical processes, the significantly poor performance in the </w:t>
      </w:r>
      <w:r w:rsidR="001E4502" w:rsidRPr="005641A9">
        <w:rPr>
          <w:szCs w:val="24"/>
          <w:lang w:val="en-GB"/>
        </w:rPr>
        <w:t>ISG</w:t>
      </w:r>
      <w:r w:rsidRPr="005641A9">
        <w:rPr>
          <w:szCs w:val="24"/>
          <w:lang w:val="en-GB"/>
        </w:rPr>
        <w:t xml:space="preserve"> confirmed the hypothesis. This phenomenon may be closely related to the difficulty that children with IS may have for quick access to words and the limited ability to identify the composition of words and pseudowords.</w:t>
      </w:r>
    </w:p>
    <w:p w14:paraId="5739C480" w14:textId="457FA164" w:rsidR="0041628F" w:rsidRPr="005641A9" w:rsidRDefault="001C1939" w:rsidP="002E1E22">
      <w:pPr>
        <w:spacing w:line="240" w:lineRule="auto"/>
        <w:jc w:val="both"/>
        <w:rPr>
          <w:szCs w:val="24"/>
          <w:lang w:val="en-GB"/>
        </w:rPr>
      </w:pPr>
      <w:r w:rsidRPr="005641A9">
        <w:rPr>
          <w:szCs w:val="24"/>
          <w:lang w:val="en-GB"/>
        </w:rPr>
        <w:t>According to Cuetos et al. (20</w:t>
      </w:r>
      <w:r w:rsidR="00512390" w:rsidRPr="005641A9">
        <w:rPr>
          <w:szCs w:val="24"/>
          <w:lang w:val="en-GB"/>
        </w:rPr>
        <w:t>09</w:t>
      </w:r>
      <w:r w:rsidRPr="005641A9">
        <w:rPr>
          <w:szCs w:val="24"/>
          <w:lang w:val="en-GB"/>
        </w:rPr>
        <w:t xml:space="preserve">), the ability to access text words is usually a rapid mechanism that would depend on the associative capacity that the reader has with previously known words. Probably, in some cases, due to the frequent use of certain words, they tend to identify them without the need to </w:t>
      </w:r>
      <w:r w:rsidR="005641A9" w:rsidRPr="005641A9">
        <w:rPr>
          <w:szCs w:val="24"/>
          <w:lang w:val="en-GB"/>
        </w:rPr>
        <w:t>analyse</w:t>
      </w:r>
      <w:r w:rsidRPr="005641A9">
        <w:rPr>
          <w:szCs w:val="24"/>
          <w:lang w:val="en-GB"/>
        </w:rPr>
        <w:t xml:space="preserve"> their parts previously. Wilkins et al. (2004) suggest</w:t>
      </w:r>
      <w:r w:rsidR="00891FC2" w:rsidRPr="005641A9">
        <w:rPr>
          <w:szCs w:val="24"/>
          <w:lang w:val="en-GB"/>
        </w:rPr>
        <w:t>ed</w:t>
      </w:r>
      <w:r w:rsidRPr="005641A9">
        <w:rPr>
          <w:szCs w:val="24"/>
          <w:lang w:val="en-GB"/>
        </w:rPr>
        <w:t xml:space="preserve"> that the visual processing that occurs when recognizing words could be affected by IS and lead the person to use a global methodology for word recognition and would be the cause of the error when recognizing words and pseudowords in detail.</w:t>
      </w:r>
    </w:p>
    <w:p w14:paraId="48259450" w14:textId="40F68E29" w:rsidR="00D335A1" w:rsidRPr="005641A9" w:rsidRDefault="006C2452" w:rsidP="002E1E22">
      <w:pPr>
        <w:spacing w:line="240" w:lineRule="auto"/>
        <w:jc w:val="both"/>
        <w:rPr>
          <w:szCs w:val="24"/>
          <w:lang w:val="en-GB"/>
        </w:rPr>
      </w:pPr>
      <w:r w:rsidRPr="005641A9">
        <w:rPr>
          <w:szCs w:val="24"/>
          <w:lang w:val="en-GB"/>
        </w:rPr>
        <w:t xml:space="preserve">As for </w:t>
      </w:r>
      <w:r w:rsidR="741E2879" w:rsidRPr="005641A9">
        <w:rPr>
          <w:szCs w:val="24"/>
          <w:lang w:val="en-GB"/>
        </w:rPr>
        <w:t xml:space="preserve">grammatical processes, the researchers expected to find a worse performance in the </w:t>
      </w:r>
      <w:r w:rsidR="001E4502" w:rsidRPr="005641A9">
        <w:rPr>
          <w:szCs w:val="24"/>
          <w:lang w:val="en-GB"/>
        </w:rPr>
        <w:t>ISG</w:t>
      </w:r>
      <w:r w:rsidR="741E2879" w:rsidRPr="005641A9">
        <w:rPr>
          <w:szCs w:val="24"/>
          <w:lang w:val="en-GB"/>
        </w:rPr>
        <w:t xml:space="preserve"> than in the CG. Performance in the grammar structures task was similar. There were differences between groups in the punctuation mark task. </w:t>
      </w:r>
      <w:r w:rsidR="00A2555A" w:rsidRPr="005641A9">
        <w:rPr>
          <w:szCs w:val="24"/>
          <w:lang w:val="en-GB"/>
        </w:rPr>
        <w:t>S</w:t>
      </w:r>
      <w:r w:rsidR="741E2879" w:rsidRPr="005641A9">
        <w:rPr>
          <w:szCs w:val="24"/>
          <w:lang w:val="en-GB"/>
        </w:rPr>
        <w:t xml:space="preserve">ignificant differences </w:t>
      </w:r>
      <w:r w:rsidR="00A2555A" w:rsidRPr="005641A9">
        <w:rPr>
          <w:szCs w:val="24"/>
          <w:lang w:val="en-GB"/>
        </w:rPr>
        <w:t xml:space="preserve">were not found </w:t>
      </w:r>
      <w:r w:rsidR="741E2879" w:rsidRPr="005641A9">
        <w:rPr>
          <w:szCs w:val="24"/>
          <w:lang w:val="en-GB"/>
        </w:rPr>
        <w:t xml:space="preserve">in the first task. Images were used for solving it, which could be of great help for children to solve </w:t>
      </w:r>
      <w:r w:rsidR="741E2879" w:rsidRPr="005641A9">
        <w:rPr>
          <w:szCs w:val="24"/>
          <w:lang w:val="en-GB"/>
        </w:rPr>
        <w:lastRenderedPageBreak/>
        <w:t xml:space="preserve">it. Additionally, in the punctuation marks assignment, no type of aid interfered with the visual ability to read and could be considered the main reason for the poor performance of children with IS. According to some studies (Irlen, 2005; Wilkins et al., 2004), IS </w:t>
      </w:r>
      <w:bookmarkStart w:id="16" w:name="_Int_3YadcgAw"/>
      <w:r w:rsidR="741E2879" w:rsidRPr="005641A9">
        <w:rPr>
          <w:szCs w:val="24"/>
          <w:lang w:val="en-GB"/>
        </w:rPr>
        <w:t>is</w:t>
      </w:r>
      <w:bookmarkEnd w:id="16"/>
      <w:r w:rsidR="741E2879" w:rsidRPr="005641A9">
        <w:rPr>
          <w:szCs w:val="24"/>
          <w:lang w:val="en-GB"/>
        </w:rPr>
        <w:t xml:space="preserve"> characteri</w:t>
      </w:r>
      <w:r w:rsidR="005641A9">
        <w:rPr>
          <w:szCs w:val="24"/>
          <w:lang w:val="en-GB"/>
        </w:rPr>
        <w:t>s</w:t>
      </w:r>
      <w:r w:rsidR="741E2879" w:rsidRPr="005641A9">
        <w:rPr>
          <w:szCs w:val="24"/>
          <w:lang w:val="en-GB"/>
        </w:rPr>
        <w:t>ed by visual distortions that affect the identification and omission of punctuation marks, which would produce a poor reading.</w:t>
      </w:r>
    </w:p>
    <w:p w14:paraId="722A718A" w14:textId="22EC8E0B" w:rsidR="6A6F3AE7" w:rsidRPr="005641A9" w:rsidRDefault="1C4F700A" w:rsidP="002E1E22">
      <w:pPr>
        <w:spacing w:line="240" w:lineRule="auto"/>
        <w:jc w:val="both"/>
        <w:rPr>
          <w:szCs w:val="24"/>
          <w:lang w:val="en-GB"/>
        </w:rPr>
      </w:pPr>
      <w:r w:rsidRPr="005641A9">
        <w:rPr>
          <w:szCs w:val="24"/>
          <w:lang w:val="en-GB"/>
        </w:rPr>
        <w:t xml:space="preserve">Regarding semantic processes, the differences between groups were very interesting because they support the hypothesis that the most noticeable difference could be found in visual comprehension tasks rather than listening comprehension tasks. The ISG had a lower performance in the assignments of sentence and text comprehension compared with the CG.  While in the oral comprehension task, there were no significant differences between either group. </w:t>
      </w:r>
    </w:p>
    <w:p w14:paraId="02AB4B81" w14:textId="5A242DE2" w:rsidR="40F080B7" w:rsidRPr="005641A9" w:rsidRDefault="1C4F700A" w:rsidP="002E1E22">
      <w:pPr>
        <w:spacing w:line="240" w:lineRule="auto"/>
        <w:jc w:val="both"/>
        <w:rPr>
          <w:color w:val="000000" w:themeColor="text1"/>
          <w:szCs w:val="24"/>
          <w:lang w:val="en-GB"/>
        </w:rPr>
      </w:pPr>
      <w:r w:rsidRPr="005641A9">
        <w:rPr>
          <w:szCs w:val="24"/>
          <w:lang w:val="en-GB"/>
        </w:rPr>
        <w:t>The results of this research indicate</w:t>
      </w:r>
      <w:bookmarkStart w:id="17" w:name="_Int_MI0TgR9B"/>
      <w:r w:rsidRPr="005641A9">
        <w:rPr>
          <w:szCs w:val="24"/>
          <w:lang w:val="en-GB"/>
        </w:rPr>
        <w:t xml:space="preserve"> that students with Irlen syndrome showed significantly lower performance in all tasks of visual comprehension. Although oral comprehension was slightly lower, the difference between groups was not significant. These results would support the proposed hypothesis that Irlen syndrome can affect visual perception and comprehension and not necessarily oral comprehension</w:t>
      </w:r>
      <w:bookmarkEnd w:id="17"/>
      <w:r w:rsidRPr="005641A9">
        <w:rPr>
          <w:color w:val="000000" w:themeColor="text1"/>
          <w:szCs w:val="24"/>
          <w:lang w:val="en-GB"/>
        </w:rPr>
        <w:t>. In a systematic review on the Irlen Syndrome, Sacoman (2020) explained that while there are problems in IS cases, verbal capacity is not always affected; however, these affirmations lack empirical data or statistical analysis to support this claim.  Given the lack of prior research on Irlen Syndrome and the use of oral comprehension tests, the findings of our empirical study, which provide evidence verifying this group distinction, lead us to suggest that oral comprehension ability is particularly interesting for further exploration.</w:t>
      </w:r>
    </w:p>
    <w:p w14:paraId="6BCAF994" w14:textId="5FC6AEA7" w:rsidR="00EF4C3B" w:rsidRPr="005641A9" w:rsidRDefault="1C4F700A" w:rsidP="002E1E22">
      <w:pPr>
        <w:spacing w:line="240" w:lineRule="auto"/>
        <w:ind w:firstLine="720"/>
        <w:jc w:val="both"/>
        <w:rPr>
          <w:szCs w:val="24"/>
          <w:lang w:val="en-GB"/>
        </w:rPr>
      </w:pPr>
      <w:r w:rsidRPr="005641A9">
        <w:rPr>
          <w:color w:val="000000" w:themeColor="text1"/>
          <w:szCs w:val="24"/>
          <w:lang w:val="en-GB"/>
        </w:rPr>
        <w:t xml:space="preserve">The results of our study </w:t>
      </w:r>
      <w:r w:rsidRPr="005641A9">
        <w:rPr>
          <w:szCs w:val="24"/>
          <w:lang w:val="en-GB"/>
        </w:rPr>
        <w:t>would also support the data previously found by Tacuri-Reino et al. (2018) on visual comprehension in participants with IS. These authors used as a measure a short story that had to be read by the student, who afterwards answered five questions; they counted hits, errors, and reading time. Their results showed that the comprehension of the ISG was significantly lower than that of the CG in all three measures. As can be observed, visual comprehension would be affected in IS patients when using different tests and different measures</w:t>
      </w:r>
      <w:r w:rsidR="00116DD2" w:rsidRPr="005641A9">
        <w:rPr>
          <w:szCs w:val="24"/>
          <w:lang w:val="en-GB"/>
        </w:rPr>
        <w:t>,</w:t>
      </w:r>
      <w:r w:rsidRPr="005641A9">
        <w:rPr>
          <w:szCs w:val="24"/>
          <w:lang w:val="en-GB"/>
        </w:rPr>
        <w:t xml:space="preserve"> as also mentioned by Guimaraes et</w:t>
      </w:r>
      <w:r w:rsidR="00E00B56" w:rsidRPr="005641A9">
        <w:rPr>
          <w:szCs w:val="24"/>
          <w:lang w:val="en-GB"/>
        </w:rPr>
        <w:t xml:space="preserve"> a</w:t>
      </w:r>
      <w:r w:rsidRPr="005641A9">
        <w:rPr>
          <w:szCs w:val="24"/>
          <w:lang w:val="en-GB"/>
        </w:rPr>
        <w:t>l</w:t>
      </w:r>
      <w:r w:rsidR="00E00B56" w:rsidRPr="005641A9">
        <w:rPr>
          <w:szCs w:val="24"/>
          <w:lang w:val="en-GB"/>
        </w:rPr>
        <w:t>.,</w:t>
      </w:r>
      <w:r w:rsidRPr="005641A9">
        <w:rPr>
          <w:szCs w:val="24"/>
          <w:lang w:val="en-GB"/>
        </w:rPr>
        <w:t xml:space="preserve"> </w:t>
      </w:r>
      <w:r w:rsidR="00E00B56" w:rsidRPr="005641A9">
        <w:rPr>
          <w:szCs w:val="24"/>
          <w:lang w:val="en-GB"/>
        </w:rPr>
        <w:t>(</w:t>
      </w:r>
      <w:r w:rsidRPr="005641A9">
        <w:rPr>
          <w:szCs w:val="24"/>
          <w:lang w:val="en-GB"/>
        </w:rPr>
        <w:t>2020</w:t>
      </w:r>
      <w:r w:rsidR="00E00B56" w:rsidRPr="005641A9">
        <w:rPr>
          <w:szCs w:val="24"/>
          <w:lang w:val="en-GB"/>
        </w:rPr>
        <w:t>)</w:t>
      </w:r>
      <w:r w:rsidRPr="005641A9">
        <w:rPr>
          <w:szCs w:val="24"/>
          <w:lang w:val="en-GB"/>
        </w:rPr>
        <w:t xml:space="preserve">. </w:t>
      </w:r>
    </w:p>
    <w:p w14:paraId="1E2263C7" w14:textId="33F588EA" w:rsidR="0030458A" w:rsidRPr="005641A9" w:rsidRDefault="038686E3" w:rsidP="002E1E22">
      <w:pPr>
        <w:spacing w:line="240" w:lineRule="auto"/>
        <w:ind w:firstLine="720"/>
        <w:jc w:val="both"/>
        <w:rPr>
          <w:szCs w:val="24"/>
          <w:lang w:val="en-GB"/>
        </w:rPr>
      </w:pPr>
      <w:r w:rsidRPr="005641A9">
        <w:rPr>
          <w:szCs w:val="24"/>
          <w:lang w:val="en-GB"/>
        </w:rPr>
        <w:t xml:space="preserve">Although not directly comparable, this study provides new empirical data for consideration since the researchers used three tasks of the PROLEC-R. In this sense, even though, there is more research that supports that people with Irlen syndrome present problems in reading (Guimarães </w:t>
      </w:r>
      <w:r w:rsidR="000A56DC" w:rsidRPr="005641A9">
        <w:rPr>
          <w:color w:val="000000" w:themeColor="text1"/>
          <w:szCs w:val="24"/>
          <w:lang w:val="en-GB"/>
        </w:rPr>
        <w:t>&amp;</w:t>
      </w:r>
      <w:r w:rsidRPr="005641A9">
        <w:rPr>
          <w:color w:val="FF0000"/>
          <w:szCs w:val="24"/>
          <w:lang w:val="en-GB"/>
        </w:rPr>
        <w:t xml:space="preserve"> </w:t>
      </w:r>
      <w:r w:rsidRPr="005641A9">
        <w:rPr>
          <w:szCs w:val="24"/>
          <w:lang w:val="en-GB"/>
        </w:rPr>
        <w:t xml:space="preserve">Guimarães, 2013), the </w:t>
      </w:r>
      <w:r w:rsidR="008A23AB" w:rsidRPr="005641A9">
        <w:rPr>
          <w:szCs w:val="24"/>
          <w:lang w:val="en-GB"/>
        </w:rPr>
        <w:t>analyses</w:t>
      </w:r>
      <w:r w:rsidRPr="005641A9">
        <w:rPr>
          <w:szCs w:val="24"/>
          <w:lang w:val="en-GB"/>
        </w:rPr>
        <w:t xml:space="preserve"> have been </w:t>
      </w:r>
      <w:r w:rsidR="005009CC" w:rsidRPr="005641A9">
        <w:rPr>
          <w:szCs w:val="24"/>
          <w:lang w:val="en-GB"/>
        </w:rPr>
        <w:t xml:space="preserve">to date </w:t>
      </w:r>
      <w:r w:rsidRPr="005641A9">
        <w:rPr>
          <w:szCs w:val="24"/>
          <w:lang w:val="en-GB"/>
        </w:rPr>
        <w:t xml:space="preserve">limited in terms of empirical procedures and only some have focused solely on detailing reading speed (for example, Hollis </w:t>
      </w:r>
      <w:r w:rsidR="000110F1" w:rsidRPr="005641A9">
        <w:rPr>
          <w:color w:val="000000" w:themeColor="text1"/>
          <w:szCs w:val="24"/>
          <w:lang w:val="en-GB"/>
        </w:rPr>
        <w:t>&amp;</w:t>
      </w:r>
      <w:r w:rsidRPr="005641A9">
        <w:rPr>
          <w:szCs w:val="24"/>
          <w:lang w:val="en-GB"/>
        </w:rPr>
        <w:t xml:space="preserve"> Allen, 2006).</w:t>
      </w:r>
      <w:r w:rsidRPr="005641A9">
        <w:rPr>
          <w:color w:val="4472C4" w:themeColor="accent1"/>
          <w:szCs w:val="24"/>
          <w:lang w:val="en-GB"/>
        </w:rPr>
        <w:t xml:space="preserve"> </w:t>
      </w:r>
      <w:r w:rsidR="0030458A" w:rsidRPr="005641A9">
        <w:rPr>
          <w:szCs w:val="24"/>
          <w:lang w:val="en-GB"/>
        </w:rPr>
        <w:t xml:space="preserve">Hence, several authors </w:t>
      </w:r>
      <w:r w:rsidR="00C478C5" w:rsidRPr="005641A9">
        <w:rPr>
          <w:szCs w:val="24"/>
          <w:lang w:val="en-GB"/>
        </w:rPr>
        <w:t>have</w:t>
      </w:r>
      <w:r w:rsidR="0030458A" w:rsidRPr="005641A9">
        <w:rPr>
          <w:szCs w:val="24"/>
          <w:lang w:val="en-GB"/>
        </w:rPr>
        <w:t xml:space="preserve"> question</w:t>
      </w:r>
      <w:r w:rsidR="00C478C5" w:rsidRPr="005641A9">
        <w:rPr>
          <w:szCs w:val="24"/>
          <w:lang w:val="en-GB"/>
        </w:rPr>
        <w:t>ed previous</w:t>
      </w:r>
      <w:r w:rsidR="0030458A" w:rsidRPr="005641A9">
        <w:rPr>
          <w:szCs w:val="24"/>
          <w:lang w:val="en-GB"/>
        </w:rPr>
        <w:t xml:space="preserve"> research confirm</w:t>
      </w:r>
      <w:r w:rsidR="00C5402A" w:rsidRPr="005641A9">
        <w:rPr>
          <w:szCs w:val="24"/>
          <w:lang w:val="en-GB"/>
        </w:rPr>
        <w:t>ing</w:t>
      </w:r>
      <w:r w:rsidR="0030458A" w:rsidRPr="005641A9">
        <w:rPr>
          <w:szCs w:val="24"/>
          <w:lang w:val="en-GB"/>
        </w:rPr>
        <w:t xml:space="preserve"> the existence of the Irlen syndrome, its influence on reading, and the types of evaluation and intervention</w:t>
      </w:r>
      <w:r w:rsidR="00C5402A" w:rsidRPr="005641A9">
        <w:rPr>
          <w:szCs w:val="24"/>
          <w:lang w:val="en-GB"/>
        </w:rPr>
        <w:t xml:space="preserve"> used</w:t>
      </w:r>
      <w:r w:rsidR="0030458A" w:rsidRPr="005641A9">
        <w:rPr>
          <w:szCs w:val="24"/>
          <w:lang w:val="en-GB"/>
        </w:rPr>
        <w:t xml:space="preserve"> </w:t>
      </w:r>
      <w:r w:rsidR="0030458A" w:rsidRPr="005641A9">
        <w:rPr>
          <w:noProof/>
          <w:szCs w:val="24"/>
          <w:lang w:val="en-GB"/>
        </w:rPr>
        <w:t>(Griffiths et al., 2016; Ritchie et al., 2011</w:t>
      </w:r>
      <w:r w:rsidR="00FF4608" w:rsidRPr="005641A9">
        <w:rPr>
          <w:noProof/>
          <w:szCs w:val="24"/>
          <w:lang w:val="en-GB"/>
        </w:rPr>
        <w:t>;</w:t>
      </w:r>
      <w:r w:rsidR="0030458A" w:rsidRPr="005641A9">
        <w:rPr>
          <w:noProof/>
          <w:szCs w:val="24"/>
          <w:lang w:val="en-GB"/>
        </w:rPr>
        <w:t xml:space="preserve"> 2012; Uccula et al., 2014)</w:t>
      </w:r>
      <w:r w:rsidR="0030458A" w:rsidRPr="005641A9">
        <w:rPr>
          <w:szCs w:val="24"/>
          <w:lang w:val="en-GB"/>
        </w:rPr>
        <w:t>.</w:t>
      </w:r>
    </w:p>
    <w:p w14:paraId="7327EC34" w14:textId="285A7E1F" w:rsidR="004B3CCD" w:rsidRPr="005641A9" w:rsidRDefault="038686E3" w:rsidP="002E1E22">
      <w:pPr>
        <w:spacing w:line="240" w:lineRule="auto"/>
        <w:ind w:firstLine="720"/>
        <w:jc w:val="both"/>
        <w:rPr>
          <w:color w:val="FF0000"/>
          <w:szCs w:val="24"/>
          <w:lang w:val="en-GB"/>
        </w:rPr>
      </w:pPr>
      <w:r w:rsidRPr="005641A9">
        <w:rPr>
          <w:color w:val="000000" w:themeColor="text1"/>
          <w:szCs w:val="24"/>
          <w:lang w:val="en-GB"/>
        </w:rPr>
        <w:t xml:space="preserve">On the contrary, our investigation offers a comprehensive analysis of reading abilities, not just in terms of reading speed but also in the processes involved in comprehension, which would be the ultimate purpose of reading. </w:t>
      </w:r>
    </w:p>
    <w:p w14:paraId="7A3A1C32" w14:textId="5500F869" w:rsidR="00A13779" w:rsidRPr="005641A9" w:rsidRDefault="40F080B7" w:rsidP="002E1E22">
      <w:pPr>
        <w:spacing w:line="240" w:lineRule="auto"/>
        <w:ind w:firstLine="720"/>
        <w:jc w:val="both"/>
        <w:rPr>
          <w:szCs w:val="24"/>
          <w:lang w:val="en-GB"/>
        </w:rPr>
      </w:pPr>
      <w:r w:rsidRPr="005641A9">
        <w:rPr>
          <w:color w:val="000000" w:themeColor="text1"/>
          <w:szCs w:val="24"/>
          <w:lang w:val="en-GB"/>
        </w:rPr>
        <w:t>Additionally, the</w:t>
      </w:r>
      <w:r w:rsidR="001C1939" w:rsidRPr="005641A9">
        <w:rPr>
          <w:color w:val="000000" w:themeColor="text1"/>
          <w:szCs w:val="24"/>
          <w:lang w:val="en-GB"/>
        </w:rPr>
        <w:t xml:space="preserve"> </w:t>
      </w:r>
      <w:r w:rsidR="001C1939" w:rsidRPr="005641A9">
        <w:rPr>
          <w:szCs w:val="24"/>
          <w:lang w:val="en-GB"/>
        </w:rPr>
        <w:t xml:space="preserve">novelty of the present study in comparison to other studies, and especially that of Tacuri-Reino et al. (2018), has been to offer more empirical data than those found in previous studies, and in an area in which research is already very scarce. This research offers a study on the reading skills in people with Irlen syndrome, in which, in addition to the analysis of visual comprehension (with two measures), data are presented with a measure of oral comprehension. </w:t>
      </w:r>
    </w:p>
    <w:p w14:paraId="338247A5" w14:textId="012DBAF0" w:rsidR="00A13779" w:rsidRPr="005641A9" w:rsidRDefault="001C1939" w:rsidP="002E1E22">
      <w:pPr>
        <w:spacing w:line="240" w:lineRule="auto"/>
        <w:ind w:firstLine="720"/>
        <w:jc w:val="both"/>
        <w:rPr>
          <w:szCs w:val="24"/>
          <w:lang w:val="en-GB"/>
        </w:rPr>
      </w:pPr>
      <w:r w:rsidRPr="005641A9">
        <w:rPr>
          <w:szCs w:val="24"/>
          <w:lang w:val="en-GB"/>
        </w:rPr>
        <w:t xml:space="preserve">The use of all these different measures allowed us to examine reading skills more broadly and deeply. We considered the postulates of authors such as Cuetos, (2010) and Cuetos et al., </w:t>
      </w:r>
      <w:r w:rsidRPr="005641A9">
        <w:rPr>
          <w:szCs w:val="24"/>
          <w:lang w:val="en-GB"/>
        </w:rPr>
        <w:lastRenderedPageBreak/>
        <w:t>(20</w:t>
      </w:r>
      <w:r w:rsidR="00512390" w:rsidRPr="005641A9">
        <w:rPr>
          <w:szCs w:val="24"/>
          <w:lang w:val="en-GB"/>
        </w:rPr>
        <w:t>09</w:t>
      </w:r>
      <w:r w:rsidRPr="005641A9">
        <w:rPr>
          <w:szCs w:val="24"/>
          <w:lang w:val="en-GB"/>
        </w:rPr>
        <w:t>) who agreed that to reach the final objective of reading, processes such as letter identification, lexical, grammatical, and semantic processes are required.</w:t>
      </w:r>
    </w:p>
    <w:p w14:paraId="3674CBE0" w14:textId="14532687" w:rsidR="00A13779" w:rsidRPr="005641A9" w:rsidRDefault="001C1939" w:rsidP="002E1E22">
      <w:pPr>
        <w:spacing w:line="240" w:lineRule="auto"/>
        <w:ind w:firstLine="720"/>
        <w:jc w:val="both"/>
        <w:rPr>
          <w:szCs w:val="24"/>
          <w:lang w:val="en-GB"/>
        </w:rPr>
      </w:pPr>
      <w:r w:rsidRPr="005641A9">
        <w:rPr>
          <w:szCs w:val="24"/>
          <w:lang w:val="en-GB"/>
        </w:rPr>
        <w:t>The fact of having two measures of visual comprehension has contributed to having a broader perspective of reading comprehension, depending on the degree of difficulty in reading, the need for</w:t>
      </w:r>
      <w:r w:rsidR="00F87853" w:rsidRPr="005641A9">
        <w:rPr>
          <w:szCs w:val="24"/>
          <w:lang w:val="en-GB"/>
        </w:rPr>
        <w:t xml:space="preserve"> memory</w:t>
      </w:r>
      <w:r w:rsidRPr="005641A9">
        <w:rPr>
          <w:szCs w:val="24"/>
          <w:lang w:val="en-GB"/>
        </w:rPr>
        <w:t xml:space="preserve"> retention, as well as the processing of information and the appropriate use of punctuation marks to understand the message. Likewise, the listening comprehension measure has a special emphasis</w:t>
      </w:r>
      <w:r w:rsidR="006F3A96" w:rsidRPr="005641A9">
        <w:rPr>
          <w:szCs w:val="24"/>
          <w:lang w:val="en-GB"/>
        </w:rPr>
        <w:t>, as</w:t>
      </w:r>
      <w:r w:rsidRPr="005641A9">
        <w:rPr>
          <w:szCs w:val="24"/>
          <w:lang w:val="en-GB"/>
        </w:rPr>
        <w:t xml:space="preserve"> it allowed us to describe how Irlen syndrome specifically influences visual comprehension and, at the same time, it was ruled out that it could significantly affect oral comprehension. Future research </w:t>
      </w:r>
      <w:r w:rsidR="00D553B2" w:rsidRPr="005641A9">
        <w:rPr>
          <w:szCs w:val="24"/>
          <w:lang w:val="en-GB"/>
        </w:rPr>
        <w:t>might consider inclu</w:t>
      </w:r>
      <w:r w:rsidR="00964EE8" w:rsidRPr="005641A9">
        <w:rPr>
          <w:szCs w:val="24"/>
          <w:lang w:val="en-GB"/>
        </w:rPr>
        <w:t xml:space="preserve">ding measures </w:t>
      </w:r>
      <w:r w:rsidRPr="005641A9">
        <w:rPr>
          <w:szCs w:val="24"/>
          <w:lang w:val="en-GB"/>
        </w:rPr>
        <w:t>of listening comprehension with various tasks, just as visual comprehension has been studied, which would provide a more in-depth analysis of listening comprehension in people with Irlen syndrome.</w:t>
      </w:r>
    </w:p>
    <w:p w14:paraId="760ACF8A" w14:textId="401EBBB7" w:rsidR="00C55161" w:rsidRPr="005641A9" w:rsidRDefault="005F2A0D" w:rsidP="002E1E22">
      <w:pPr>
        <w:spacing w:line="240" w:lineRule="auto"/>
        <w:jc w:val="both"/>
        <w:rPr>
          <w:b/>
          <w:bCs/>
          <w:szCs w:val="24"/>
          <w:lang w:val="en-GB"/>
        </w:rPr>
      </w:pPr>
      <w:r w:rsidRPr="005641A9">
        <w:rPr>
          <w:szCs w:val="24"/>
          <w:lang w:val="en-GB"/>
        </w:rPr>
        <w:t>As for</w:t>
      </w:r>
      <w:r w:rsidR="001C1939" w:rsidRPr="005641A9">
        <w:rPr>
          <w:szCs w:val="24"/>
          <w:lang w:val="en-GB"/>
        </w:rPr>
        <w:t xml:space="preserve"> the limitations</w:t>
      </w:r>
      <w:r w:rsidRPr="005641A9">
        <w:rPr>
          <w:szCs w:val="24"/>
          <w:lang w:val="en-GB"/>
        </w:rPr>
        <w:t xml:space="preserve"> of this study</w:t>
      </w:r>
      <w:r w:rsidR="001C1939" w:rsidRPr="005641A9">
        <w:rPr>
          <w:szCs w:val="24"/>
          <w:lang w:val="en-GB"/>
        </w:rPr>
        <w:t xml:space="preserve">, </w:t>
      </w:r>
      <w:r w:rsidRPr="005641A9">
        <w:rPr>
          <w:szCs w:val="24"/>
          <w:lang w:val="en-GB"/>
        </w:rPr>
        <w:t xml:space="preserve">it </w:t>
      </w:r>
      <w:r w:rsidR="001C1939" w:rsidRPr="005641A9">
        <w:rPr>
          <w:szCs w:val="24"/>
          <w:lang w:val="en-GB"/>
        </w:rPr>
        <w:t>did not have an intelligence measurement, even though one of the exclusion criteria was not to include participants who needed some curricular adaptation or had a psychological diagnosis related to any intellectual disability.</w:t>
      </w:r>
    </w:p>
    <w:p w14:paraId="55985CAA" w14:textId="77A7929D" w:rsidR="00C55161" w:rsidRPr="005641A9" w:rsidRDefault="001C1939" w:rsidP="002E1E22">
      <w:pPr>
        <w:spacing w:line="240" w:lineRule="auto"/>
        <w:ind w:firstLine="720"/>
        <w:jc w:val="both"/>
        <w:rPr>
          <w:szCs w:val="24"/>
          <w:lang w:val="en-GB"/>
        </w:rPr>
      </w:pPr>
      <w:r w:rsidRPr="005641A9">
        <w:rPr>
          <w:szCs w:val="24"/>
          <w:lang w:val="en-GB"/>
        </w:rPr>
        <w:t>Another limitation was that a single measure was considered to compare</w:t>
      </w:r>
      <w:r w:rsidR="006F3A96" w:rsidRPr="005641A9">
        <w:rPr>
          <w:szCs w:val="24"/>
          <w:lang w:val="en-GB"/>
        </w:rPr>
        <w:t xml:space="preserve"> with</w:t>
      </w:r>
      <w:r w:rsidRPr="005641A9">
        <w:rPr>
          <w:szCs w:val="24"/>
          <w:lang w:val="en-GB"/>
        </w:rPr>
        <w:t xml:space="preserve"> visual comprehension, </w:t>
      </w:r>
      <w:r w:rsidR="006F3A96" w:rsidRPr="005641A9">
        <w:rPr>
          <w:szCs w:val="24"/>
          <w:lang w:val="en-GB"/>
        </w:rPr>
        <w:t>for</w:t>
      </w:r>
      <w:r w:rsidRPr="005641A9">
        <w:rPr>
          <w:szCs w:val="24"/>
          <w:lang w:val="en-GB"/>
        </w:rPr>
        <w:t xml:space="preserve"> which three variables were considered.</w:t>
      </w:r>
      <w:r w:rsidR="00EC74F3" w:rsidRPr="005641A9">
        <w:rPr>
          <w:szCs w:val="24"/>
          <w:lang w:val="en-GB"/>
        </w:rPr>
        <w:t xml:space="preserve"> </w:t>
      </w:r>
    </w:p>
    <w:p w14:paraId="47508F5B" w14:textId="1EB1A2C9" w:rsidR="6A6F3AE7" w:rsidRPr="005641A9" w:rsidRDefault="001C1939" w:rsidP="002E1E22">
      <w:pPr>
        <w:spacing w:line="240" w:lineRule="auto"/>
        <w:jc w:val="both"/>
        <w:rPr>
          <w:szCs w:val="24"/>
          <w:lang w:val="en-GB"/>
        </w:rPr>
      </w:pPr>
      <w:r w:rsidRPr="005641A9">
        <w:rPr>
          <w:szCs w:val="24"/>
          <w:lang w:val="en-GB"/>
        </w:rPr>
        <w:t xml:space="preserve">Furthermore, although the educational </w:t>
      </w:r>
      <w:r w:rsidR="008A23AB" w:rsidRPr="005641A9">
        <w:rPr>
          <w:szCs w:val="24"/>
          <w:lang w:val="en-GB"/>
        </w:rPr>
        <w:t>centres</w:t>
      </w:r>
      <w:r w:rsidRPr="005641A9">
        <w:rPr>
          <w:szCs w:val="24"/>
          <w:lang w:val="en-GB"/>
        </w:rPr>
        <w:t xml:space="preserve"> </w:t>
      </w:r>
      <w:r w:rsidR="6F525F07" w:rsidRPr="005641A9">
        <w:rPr>
          <w:szCs w:val="24"/>
          <w:lang w:val="en-GB"/>
        </w:rPr>
        <w:t>were</w:t>
      </w:r>
      <w:r w:rsidRPr="005641A9">
        <w:rPr>
          <w:szCs w:val="24"/>
          <w:lang w:val="en-GB"/>
        </w:rPr>
        <w:t xml:space="preserve"> from similar sociocultural contexts, </w:t>
      </w:r>
      <w:r w:rsidR="4B48C628" w:rsidRPr="005641A9">
        <w:rPr>
          <w:szCs w:val="24"/>
          <w:lang w:val="en-GB"/>
        </w:rPr>
        <w:t>socio</w:t>
      </w:r>
      <w:r w:rsidRPr="005641A9">
        <w:rPr>
          <w:szCs w:val="24"/>
          <w:lang w:val="en-GB"/>
        </w:rPr>
        <w:t>-economic conditions</w:t>
      </w:r>
      <w:r w:rsidR="58A7E8C2" w:rsidRPr="005641A9">
        <w:rPr>
          <w:szCs w:val="24"/>
          <w:lang w:val="en-GB"/>
        </w:rPr>
        <w:t>,</w:t>
      </w:r>
      <w:r w:rsidR="0724535D" w:rsidRPr="005641A9">
        <w:rPr>
          <w:szCs w:val="24"/>
          <w:lang w:val="en-GB"/>
        </w:rPr>
        <w:t xml:space="preserve"> </w:t>
      </w:r>
      <w:r w:rsidR="008A23AB" w:rsidRPr="005641A9">
        <w:rPr>
          <w:szCs w:val="24"/>
          <w:lang w:val="en-GB"/>
        </w:rPr>
        <w:t>behavioural</w:t>
      </w:r>
      <w:r w:rsidR="57C3CE0A" w:rsidRPr="005641A9">
        <w:rPr>
          <w:szCs w:val="24"/>
          <w:lang w:val="en-GB"/>
        </w:rPr>
        <w:t xml:space="preserve"> </w:t>
      </w:r>
      <w:r w:rsidR="00767622" w:rsidRPr="005641A9">
        <w:rPr>
          <w:szCs w:val="24"/>
          <w:lang w:val="en-GB"/>
        </w:rPr>
        <w:t>problems,</w:t>
      </w:r>
      <w:r w:rsidR="7B15E411" w:rsidRPr="005641A9">
        <w:rPr>
          <w:szCs w:val="24"/>
          <w:lang w:val="en-GB"/>
        </w:rPr>
        <w:t xml:space="preserve"> </w:t>
      </w:r>
      <w:r w:rsidR="2F4A0D58" w:rsidRPr="005641A9">
        <w:rPr>
          <w:szCs w:val="24"/>
          <w:lang w:val="en-GB"/>
        </w:rPr>
        <w:t>and</w:t>
      </w:r>
      <w:r w:rsidR="57C3CE0A" w:rsidRPr="005641A9">
        <w:rPr>
          <w:szCs w:val="24"/>
          <w:lang w:val="en-GB"/>
        </w:rPr>
        <w:t xml:space="preserve"> subtle</w:t>
      </w:r>
      <w:r w:rsidR="6D78237C" w:rsidRPr="005641A9">
        <w:rPr>
          <w:szCs w:val="24"/>
          <w:lang w:val="en-GB"/>
        </w:rPr>
        <w:t xml:space="preserve"> pathological </w:t>
      </w:r>
      <w:r w:rsidR="49777442" w:rsidRPr="005641A9">
        <w:rPr>
          <w:szCs w:val="24"/>
          <w:lang w:val="en-GB"/>
        </w:rPr>
        <w:t xml:space="preserve">issues presented </w:t>
      </w:r>
      <w:r w:rsidR="0F4F1964" w:rsidRPr="005641A9">
        <w:rPr>
          <w:szCs w:val="24"/>
          <w:lang w:val="en-GB"/>
        </w:rPr>
        <w:t xml:space="preserve">in the </w:t>
      </w:r>
      <w:r w:rsidR="33320DB5" w:rsidRPr="005641A9">
        <w:rPr>
          <w:szCs w:val="24"/>
          <w:lang w:val="en-GB"/>
        </w:rPr>
        <w:t>participants</w:t>
      </w:r>
      <w:r w:rsidR="6067461D" w:rsidRPr="005641A9">
        <w:rPr>
          <w:szCs w:val="24"/>
          <w:lang w:val="en-GB"/>
        </w:rPr>
        <w:t xml:space="preserve"> </w:t>
      </w:r>
      <w:r w:rsidR="66A03BD3" w:rsidRPr="005641A9">
        <w:rPr>
          <w:szCs w:val="24"/>
          <w:lang w:val="en-GB"/>
        </w:rPr>
        <w:t>were not considered in more detail.</w:t>
      </w:r>
      <w:r w:rsidR="11EBF618" w:rsidRPr="005641A9">
        <w:rPr>
          <w:szCs w:val="24"/>
          <w:lang w:val="en-GB"/>
        </w:rPr>
        <w:t xml:space="preserve"> </w:t>
      </w:r>
      <w:r w:rsidRPr="005641A9">
        <w:rPr>
          <w:szCs w:val="24"/>
          <w:lang w:val="en-GB"/>
        </w:rPr>
        <w:t xml:space="preserve"> This aspect should be considered in future studies, as situational factors </w:t>
      </w:r>
      <w:r w:rsidR="40F080B7" w:rsidRPr="005641A9">
        <w:rPr>
          <w:color w:val="000000" w:themeColor="text1"/>
          <w:szCs w:val="24"/>
          <w:lang w:val="en-GB"/>
        </w:rPr>
        <w:t xml:space="preserve">(Hu et al., 2022) </w:t>
      </w:r>
      <w:r w:rsidRPr="005641A9">
        <w:rPr>
          <w:szCs w:val="24"/>
          <w:lang w:val="en-GB"/>
        </w:rPr>
        <w:t xml:space="preserve">affect reading skills significantly, and in this area of research, on reading skills in people with Irlen syndrome, there are not many studies that </w:t>
      </w:r>
      <w:r w:rsidR="008A23AB" w:rsidRPr="005641A9">
        <w:rPr>
          <w:szCs w:val="24"/>
          <w:lang w:val="en-GB"/>
        </w:rPr>
        <w:t>analyse</w:t>
      </w:r>
      <w:r w:rsidRPr="005641A9">
        <w:rPr>
          <w:szCs w:val="24"/>
          <w:lang w:val="en-GB"/>
        </w:rPr>
        <w:t xml:space="preserve"> </w:t>
      </w:r>
      <w:r w:rsidR="1A6B5A4E" w:rsidRPr="005641A9">
        <w:rPr>
          <w:szCs w:val="24"/>
          <w:lang w:val="en-GB"/>
        </w:rPr>
        <w:t>these</w:t>
      </w:r>
      <w:r w:rsidRPr="005641A9">
        <w:rPr>
          <w:szCs w:val="24"/>
          <w:lang w:val="en-GB"/>
        </w:rPr>
        <w:t xml:space="preserve"> </w:t>
      </w:r>
      <w:r w:rsidR="756D99D4" w:rsidRPr="005641A9">
        <w:rPr>
          <w:szCs w:val="24"/>
          <w:lang w:val="en-GB"/>
        </w:rPr>
        <w:t>variables.</w:t>
      </w:r>
    </w:p>
    <w:p w14:paraId="629CA56E" w14:textId="2EA45C23" w:rsidR="00BF4A54" w:rsidRPr="005641A9" w:rsidRDefault="00116DD2" w:rsidP="002E1E22">
      <w:pPr>
        <w:spacing w:line="240" w:lineRule="auto"/>
        <w:jc w:val="both"/>
        <w:rPr>
          <w:szCs w:val="24"/>
          <w:lang w:val="en-GB"/>
        </w:rPr>
      </w:pPr>
      <w:r w:rsidRPr="005641A9">
        <w:rPr>
          <w:szCs w:val="24"/>
          <w:lang w:val="en-GB"/>
        </w:rPr>
        <w:t xml:space="preserve">Additionally, </w:t>
      </w:r>
      <w:r w:rsidR="00BF4A54" w:rsidRPr="005641A9">
        <w:rPr>
          <w:szCs w:val="24"/>
          <w:lang w:val="en-GB"/>
        </w:rPr>
        <w:t>PROLEC-R</w:t>
      </w:r>
      <w:r w:rsidR="00C55A98" w:rsidRPr="005641A9">
        <w:rPr>
          <w:szCs w:val="24"/>
          <w:lang w:val="en-GB"/>
        </w:rPr>
        <w:t>’</w:t>
      </w:r>
      <w:r w:rsidR="00BF4A54" w:rsidRPr="005641A9">
        <w:rPr>
          <w:szCs w:val="24"/>
          <w:lang w:val="en-GB"/>
        </w:rPr>
        <w:t>s psychometric limitations</w:t>
      </w:r>
      <w:r w:rsidRPr="005641A9">
        <w:rPr>
          <w:szCs w:val="24"/>
          <w:lang w:val="en-GB"/>
        </w:rPr>
        <w:t xml:space="preserve"> should also be considered</w:t>
      </w:r>
      <w:r w:rsidR="00BF4A54" w:rsidRPr="005641A9">
        <w:rPr>
          <w:szCs w:val="24"/>
          <w:lang w:val="en-GB"/>
        </w:rPr>
        <w:t xml:space="preserve">, as group differences may exist, but were not identified with this specific instrument. Another limitation concerns the group selection itself, </w:t>
      </w:r>
      <w:r w:rsidRPr="005641A9">
        <w:rPr>
          <w:szCs w:val="24"/>
          <w:lang w:val="en-GB"/>
        </w:rPr>
        <w:t>as</w:t>
      </w:r>
      <w:r w:rsidR="00BF4A54" w:rsidRPr="005641A9">
        <w:rPr>
          <w:szCs w:val="24"/>
          <w:lang w:val="en-GB"/>
        </w:rPr>
        <w:t xml:space="preserve"> participants with reading difficulties in IRPS were concentrated in the IS group.</w:t>
      </w:r>
    </w:p>
    <w:p w14:paraId="0B4CC82B" w14:textId="77777777" w:rsidR="00E00B56" w:rsidRPr="005641A9" w:rsidRDefault="00E00B56" w:rsidP="002E1E22">
      <w:pPr>
        <w:spacing w:line="240" w:lineRule="auto"/>
        <w:jc w:val="both"/>
        <w:rPr>
          <w:b/>
          <w:bCs/>
          <w:szCs w:val="24"/>
          <w:lang w:val="en-GB"/>
        </w:rPr>
      </w:pPr>
    </w:p>
    <w:p w14:paraId="6836D049" w14:textId="77777777" w:rsidR="004B3CCD" w:rsidRPr="005641A9" w:rsidRDefault="001C1939" w:rsidP="002E1E22">
      <w:pPr>
        <w:spacing w:line="240" w:lineRule="auto"/>
        <w:ind w:firstLine="0"/>
        <w:jc w:val="both"/>
        <w:rPr>
          <w:b/>
          <w:bCs/>
          <w:szCs w:val="24"/>
          <w:lang w:val="en-GB"/>
        </w:rPr>
      </w:pPr>
      <w:bookmarkStart w:id="18" w:name="_Toc42904644"/>
      <w:bookmarkStart w:id="19" w:name="_Toc45663005"/>
      <w:r w:rsidRPr="005641A9">
        <w:rPr>
          <w:b/>
          <w:bCs/>
          <w:szCs w:val="24"/>
          <w:lang w:val="en-GB"/>
        </w:rPr>
        <w:t>C</w:t>
      </w:r>
      <w:bookmarkEnd w:id="15"/>
      <w:bookmarkEnd w:id="18"/>
      <w:bookmarkEnd w:id="19"/>
      <w:r w:rsidRPr="005641A9">
        <w:rPr>
          <w:b/>
          <w:bCs/>
          <w:szCs w:val="24"/>
          <w:lang w:val="en-GB"/>
        </w:rPr>
        <w:t>onclusions</w:t>
      </w:r>
    </w:p>
    <w:p w14:paraId="21686574" w14:textId="39536A9C" w:rsidR="002D4BFB" w:rsidRPr="005641A9" w:rsidRDefault="001C1939" w:rsidP="002E1E22">
      <w:pPr>
        <w:spacing w:line="240" w:lineRule="auto"/>
        <w:jc w:val="both"/>
        <w:rPr>
          <w:rFonts w:eastAsia="Times New Roman"/>
          <w:szCs w:val="24"/>
          <w:lang w:val="en-GB"/>
        </w:rPr>
      </w:pPr>
      <w:r w:rsidRPr="005641A9">
        <w:rPr>
          <w:szCs w:val="24"/>
          <w:lang w:val="en-GB"/>
        </w:rPr>
        <w:t xml:space="preserve">Regarding the identification of letters, it was evident that both the control group and the </w:t>
      </w:r>
      <w:r w:rsidR="005A6F0F" w:rsidRPr="005641A9">
        <w:rPr>
          <w:szCs w:val="24"/>
          <w:lang w:val="en-GB"/>
        </w:rPr>
        <w:t xml:space="preserve">ISG </w:t>
      </w:r>
      <w:r w:rsidRPr="005641A9">
        <w:rPr>
          <w:szCs w:val="24"/>
          <w:lang w:val="en-GB"/>
        </w:rPr>
        <w:t xml:space="preserve">had similar and </w:t>
      </w:r>
      <w:r w:rsidR="008A23AB" w:rsidRPr="005641A9">
        <w:rPr>
          <w:szCs w:val="24"/>
          <w:lang w:val="en-GB"/>
        </w:rPr>
        <w:t>favourable</w:t>
      </w:r>
      <w:r w:rsidRPr="005641A9">
        <w:rPr>
          <w:szCs w:val="24"/>
          <w:lang w:val="en-GB"/>
        </w:rPr>
        <w:t xml:space="preserve"> performances for their age, which is why it is concluded that the learning of letters, essential for reading, did not influence the differentiation.</w:t>
      </w:r>
    </w:p>
    <w:p w14:paraId="35A53CF6" w14:textId="120CC540" w:rsidR="001C2EDF" w:rsidRPr="005641A9" w:rsidRDefault="001C1939" w:rsidP="002E1E22">
      <w:pPr>
        <w:spacing w:line="240" w:lineRule="auto"/>
        <w:jc w:val="both"/>
        <w:rPr>
          <w:szCs w:val="24"/>
          <w:lang w:val="en-GB"/>
        </w:rPr>
      </w:pPr>
      <w:r w:rsidRPr="005641A9">
        <w:rPr>
          <w:szCs w:val="24"/>
          <w:lang w:val="en-GB"/>
        </w:rPr>
        <w:t>About the lexicon processes, the confirmation of the differences between groups allowed us to conclude that the perceptual processes for the rapid acquisition of the word may be affected by Irlen</w:t>
      </w:r>
      <w:r w:rsidR="00C55A98" w:rsidRPr="005641A9">
        <w:rPr>
          <w:szCs w:val="24"/>
          <w:lang w:val="en-GB"/>
        </w:rPr>
        <w:t>’</w:t>
      </w:r>
      <w:r w:rsidRPr="005641A9">
        <w:rPr>
          <w:szCs w:val="24"/>
          <w:lang w:val="en-GB"/>
        </w:rPr>
        <w:t>s syndrome, and this would cause difficulty in effectively distinguishing words.</w:t>
      </w:r>
    </w:p>
    <w:p w14:paraId="43EDDDD7" w14:textId="26B97053" w:rsidR="001C2EDF" w:rsidRPr="005641A9" w:rsidRDefault="001C1939" w:rsidP="002E1E22">
      <w:pPr>
        <w:spacing w:line="240" w:lineRule="auto"/>
        <w:jc w:val="both"/>
        <w:rPr>
          <w:szCs w:val="24"/>
          <w:lang w:val="en-GB"/>
        </w:rPr>
      </w:pPr>
      <w:r w:rsidRPr="005641A9">
        <w:rPr>
          <w:szCs w:val="24"/>
          <w:lang w:val="en-GB"/>
        </w:rPr>
        <w:t xml:space="preserve">Concerning grammatical processes, the partial difference between groups, equal in Grammatical structures, and different in Punctuation marks, led to </w:t>
      </w:r>
      <w:r w:rsidR="725740CB" w:rsidRPr="005641A9">
        <w:rPr>
          <w:szCs w:val="24"/>
          <w:lang w:val="en-GB"/>
        </w:rPr>
        <w:t>the conclusion</w:t>
      </w:r>
      <w:r w:rsidRPr="005641A9">
        <w:rPr>
          <w:szCs w:val="24"/>
          <w:lang w:val="en-GB"/>
        </w:rPr>
        <w:t xml:space="preserve"> that perception influenced the results. In the first task, the visual aids could have influenced the inclination for some of the ways of response. In the second, the omissions of the punctuation marks could have been caused by perceptual ability. On a new occasion, the task of grammatical structures c</w:t>
      </w:r>
      <w:r w:rsidR="006F3A96" w:rsidRPr="005641A9">
        <w:rPr>
          <w:szCs w:val="24"/>
          <w:lang w:val="en-GB"/>
        </w:rPr>
        <w:t>ould</w:t>
      </w:r>
      <w:r w:rsidRPr="005641A9">
        <w:rPr>
          <w:szCs w:val="24"/>
          <w:lang w:val="en-GB"/>
        </w:rPr>
        <w:t xml:space="preserve"> be evaluated by separating the sentence of the statement from the possible response figures.</w:t>
      </w:r>
    </w:p>
    <w:p w14:paraId="3FCF01E6" w14:textId="6F050CC3" w:rsidR="00E00B56" w:rsidRPr="005641A9" w:rsidRDefault="1C4F700A" w:rsidP="002E1E22">
      <w:pPr>
        <w:spacing w:line="240" w:lineRule="auto"/>
        <w:ind w:firstLine="720"/>
        <w:jc w:val="both"/>
        <w:rPr>
          <w:szCs w:val="24"/>
          <w:lang w:val="en-GB"/>
        </w:rPr>
      </w:pPr>
      <w:r w:rsidRPr="005641A9">
        <w:rPr>
          <w:szCs w:val="24"/>
          <w:lang w:val="en-GB"/>
        </w:rPr>
        <w:t xml:space="preserve">With the semantic processes in reading comprehension, the results indicated that visual comprehension can be affected by the Irlen syndrome. The different manifestations in visual perception difficulty could influence the processing of the information that is necessary for reading, and more specifically for comprehension. However, oral comprehension does not appear to be significantly affected by Irlen syndrome. In this sense, future research should delve into oral comprehension. </w:t>
      </w:r>
    </w:p>
    <w:p w14:paraId="5C055EC8" w14:textId="77777777" w:rsidR="0046797E" w:rsidRPr="005641A9" w:rsidRDefault="0046797E" w:rsidP="002E1E22">
      <w:pPr>
        <w:pStyle w:val="Correspondencedetails"/>
        <w:spacing w:before="0" w:line="240" w:lineRule="auto"/>
        <w:jc w:val="both"/>
      </w:pPr>
    </w:p>
    <w:p w14:paraId="6FBAA41C" w14:textId="246E97F9" w:rsidR="004B0411" w:rsidRPr="005641A9" w:rsidRDefault="1C4F700A" w:rsidP="002E1E22">
      <w:pPr>
        <w:pStyle w:val="Correspondencedetails"/>
        <w:spacing w:before="0" w:line="240" w:lineRule="auto"/>
        <w:jc w:val="both"/>
        <w:rPr>
          <w:b/>
          <w:bCs/>
          <w:color w:val="1C1D1E"/>
        </w:rPr>
      </w:pPr>
      <w:r w:rsidRPr="005641A9">
        <w:rPr>
          <w:b/>
          <w:bCs/>
          <w:color w:val="1C1D1E"/>
        </w:rPr>
        <w:t>Data Availability Statement</w:t>
      </w:r>
    </w:p>
    <w:p w14:paraId="1F03D627" w14:textId="0E5C2463" w:rsidR="000E6D55" w:rsidRPr="000E6D55" w:rsidRDefault="004B0411" w:rsidP="00C86866">
      <w:pPr>
        <w:pStyle w:val="Correspondencedetails"/>
        <w:spacing w:before="0" w:line="240" w:lineRule="auto"/>
        <w:jc w:val="both"/>
        <w:rPr>
          <w:i/>
          <w:iCs/>
          <w:color w:val="1C1D1E"/>
        </w:rPr>
      </w:pPr>
      <w:r w:rsidRPr="005641A9">
        <w:rPr>
          <w:color w:val="1C1D1E"/>
        </w:rPr>
        <w:t xml:space="preserve">The data that support the findings of this study are openly available in </w:t>
      </w:r>
      <w:r w:rsidR="000E6D55">
        <w:rPr>
          <w:i/>
          <w:iCs/>
          <w:color w:val="1C1D1E"/>
        </w:rPr>
        <w:t>e-</w:t>
      </w:r>
      <w:proofErr w:type="spellStart"/>
      <w:r w:rsidR="000E6D55">
        <w:rPr>
          <w:i/>
          <w:iCs/>
          <w:color w:val="1C1D1E"/>
        </w:rPr>
        <w:t>SpacioUNED</w:t>
      </w:r>
      <w:proofErr w:type="spellEnd"/>
      <w:r w:rsidR="000E6D55">
        <w:rPr>
          <w:i/>
          <w:iCs/>
          <w:color w:val="1C1D1E"/>
        </w:rPr>
        <w:t>.</w:t>
      </w:r>
    </w:p>
    <w:p w14:paraId="6636CB18" w14:textId="73EE7154" w:rsidR="004B0411" w:rsidRPr="005641A9" w:rsidRDefault="004B0411" w:rsidP="002E1E22">
      <w:pPr>
        <w:pStyle w:val="Correspondencedetails"/>
        <w:spacing w:before="0" w:line="240" w:lineRule="auto"/>
        <w:jc w:val="both"/>
        <w:rPr>
          <w:color w:val="1C1D1E"/>
        </w:rPr>
      </w:pPr>
    </w:p>
    <w:p w14:paraId="3593C237" w14:textId="77777777" w:rsidR="00A0578E" w:rsidRPr="005641A9" w:rsidRDefault="00A0578E" w:rsidP="002E1E22">
      <w:pPr>
        <w:spacing w:line="240" w:lineRule="auto"/>
        <w:ind w:firstLine="0"/>
        <w:jc w:val="both"/>
        <w:rPr>
          <w:szCs w:val="24"/>
          <w:lang w:val="en-GB"/>
        </w:rPr>
      </w:pPr>
    </w:p>
    <w:p w14:paraId="2E341F15" w14:textId="00E9EDB6" w:rsidR="004B3CCD" w:rsidRPr="000E6D55" w:rsidRDefault="4379D923" w:rsidP="002E1E22">
      <w:pPr>
        <w:spacing w:line="240" w:lineRule="auto"/>
        <w:ind w:firstLine="0"/>
        <w:jc w:val="both"/>
        <w:rPr>
          <w:b/>
          <w:bCs/>
          <w:szCs w:val="24"/>
        </w:rPr>
      </w:pPr>
      <w:bookmarkStart w:id="20" w:name="_Toc4620059"/>
      <w:bookmarkStart w:id="21" w:name="_Toc40025296"/>
      <w:bookmarkStart w:id="22" w:name="_Toc42904645"/>
      <w:bookmarkStart w:id="23" w:name="_Toc45663006"/>
      <w:proofErr w:type="spellStart"/>
      <w:r w:rsidRPr="000E6D55">
        <w:rPr>
          <w:b/>
          <w:bCs/>
          <w:szCs w:val="24"/>
        </w:rPr>
        <w:t>R</w:t>
      </w:r>
      <w:bookmarkEnd w:id="20"/>
      <w:bookmarkEnd w:id="21"/>
      <w:bookmarkEnd w:id="22"/>
      <w:bookmarkEnd w:id="23"/>
      <w:r w:rsidRPr="000E6D55">
        <w:rPr>
          <w:b/>
          <w:bCs/>
          <w:szCs w:val="24"/>
        </w:rPr>
        <w:t>eferences</w:t>
      </w:r>
      <w:proofErr w:type="spellEnd"/>
    </w:p>
    <w:p w14:paraId="7AF5038C" w14:textId="12D62470" w:rsidR="00FF4608" w:rsidRPr="005641A9" w:rsidRDefault="00FF4608" w:rsidP="00FF4608">
      <w:pPr>
        <w:spacing w:line="240" w:lineRule="auto"/>
        <w:ind w:left="720" w:hanging="720"/>
        <w:jc w:val="both"/>
        <w:rPr>
          <w:szCs w:val="24"/>
          <w:lang w:val="en-GB"/>
        </w:rPr>
      </w:pPr>
      <w:r w:rsidRPr="000E6D55">
        <w:rPr>
          <w:szCs w:val="24"/>
        </w:rPr>
        <w:t>Al-</w:t>
      </w:r>
      <w:proofErr w:type="spellStart"/>
      <w:r w:rsidRPr="000E6D55">
        <w:rPr>
          <w:szCs w:val="24"/>
        </w:rPr>
        <w:t>Zoubi</w:t>
      </w:r>
      <w:proofErr w:type="spellEnd"/>
      <w:r w:rsidRPr="000E6D55">
        <w:rPr>
          <w:szCs w:val="24"/>
        </w:rPr>
        <w:t xml:space="preserve">, S. M. (2021). </w:t>
      </w:r>
      <w:r w:rsidRPr="005641A9">
        <w:rPr>
          <w:szCs w:val="24"/>
          <w:lang w:val="en-GB"/>
        </w:rPr>
        <w:t xml:space="preserve">Prevalence of Scotopic Sensitivity Syndrome among Arab students with and without learning disabilities. </w:t>
      </w:r>
      <w:r w:rsidRPr="005641A9">
        <w:rPr>
          <w:i/>
          <w:iCs/>
          <w:szCs w:val="24"/>
          <w:lang w:val="en-GB"/>
        </w:rPr>
        <w:t>International Journal of Early Childhood Special Education, 13</w:t>
      </w:r>
      <w:r w:rsidRPr="005641A9">
        <w:rPr>
          <w:szCs w:val="24"/>
          <w:lang w:val="en-GB"/>
        </w:rPr>
        <w:t>(2), 299-305.</w:t>
      </w:r>
      <w:r w:rsidR="00A57B70" w:rsidRPr="005641A9">
        <w:rPr>
          <w:szCs w:val="24"/>
          <w:lang w:val="en-GB"/>
        </w:rPr>
        <w:t xml:space="preserve"> </w:t>
      </w:r>
      <w:hyperlink r:id="rId14" w:history="1">
        <w:r w:rsidR="00A57B70" w:rsidRPr="005641A9">
          <w:rPr>
            <w:rStyle w:val="Hipervnculo"/>
            <w:szCs w:val="24"/>
            <w:lang w:val="en-GB"/>
          </w:rPr>
          <w:t>https://doi.org/10.9756/INT-JECSE/V13I2.211065</w:t>
        </w:r>
      </w:hyperlink>
      <w:r w:rsidR="00A57B70" w:rsidRPr="005641A9">
        <w:rPr>
          <w:szCs w:val="24"/>
          <w:lang w:val="en-GB"/>
        </w:rPr>
        <w:t xml:space="preserve"> </w:t>
      </w:r>
    </w:p>
    <w:p w14:paraId="2496069A"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Altman, J. B. (2003). </w:t>
      </w:r>
      <w:r w:rsidRPr="005641A9">
        <w:rPr>
          <w:i/>
          <w:iCs/>
          <w:szCs w:val="24"/>
          <w:lang w:val="en-GB"/>
        </w:rPr>
        <w:t>Irlen Syndrome and the reading process</w:t>
      </w:r>
      <w:r w:rsidRPr="005641A9">
        <w:rPr>
          <w:szCs w:val="24"/>
          <w:lang w:val="en-GB"/>
        </w:rPr>
        <w:t>. California State University.</w:t>
      </w:r>
    </w:p>
    <w:p w14:paraId="2A87F56C"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Bernal, M., Arias-Medina, P., &amp; Tacuri-Reino, R. (2021). Structural validity of an instrument for the evaluation of Irlen Syndrome. In </w:t>
      </w:r>
      <w:r w:rsidRPr="005641A9">
        <w:rPr>
          <w:i/>
          <w:iCs/>
          <w:szCs w:val="24"/>
          <w:lang w:val="en-GB"/>
        </w:rPr>
        <w:t xml:space="preserve">XV International Symposium of Psycholinguistics. </w:t>
      </w:r>
      <w:r w:rsidRPr="005641A9">
        <w:rPr>
          <w:szCs w:val="24"/>
          <w:lang w:val="en-GB"/>
        </w:rPr>
        <w:t>Virtual Symposium. Universidad Nebrija and Universidad Complutense de Madrid, Madrid, June 22-25.</w:t>
      </w:r>
    </w:p>
    <w:p w14:paraId="3CDF01E8"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Brien, J., De-Ionno, M., &amp; Thomas, G. (2013). </w:t>
      </w:r>
      <w:r w:rsidRPr="005641A9">
        <w:rPr>
          <w:i/>
          <w:iCs/>
          <w:szCs w:val="24"/>
          <w:lang w:val="en-GB"/>
        </w:rPr>
        <w:t>Understanding Irlen Syndrome</w:t>
      </w:r>
      <w:r w:rsidRPr="005641A9">
        <w:rPr>
          <w:szCs w:val="24"/>
          <w:lang w:val="en-GB"/>
        </w:rPr>
        <w:t xml:space="preserve">. </w:t>
      </w:r>
      <w:hyperlink r:id="rId15" w:history="1">
        <w:r w:rsidRPr="005641A9">
          <w:rPr>
            <w:rStyle w:val="Hipervnculo"/>
            <w:szCs w:val="24"/>
            <w:lang w:val="en-GB"/>
          </w:rPr>
          <w:t>https://aaic.org.au/images/books/Understanding_Irlen_Syndrome_Booklet.pdf</w:t>
        </w:r>
      </w:hyperlink>
      <w:r w:rsidRPr="005641A9">
        <w:rPr>
          <w:rStyle w:val="Hipervnculo"/>
          <w:szCs w:val="24"/>
          <w:lang w:val="en-GB"/>
        </w:rPr>
        <w:t xml:space="preserve"> </w:t>
      </w:r>
    </w:p>
    <w:p w14:paraId="5258FAAB" w14:textId="77777777" w:rsidR="00FF4608" w:rsidRPr="005000BF" w:rsidRDefault="00FF4608" w:rsidP="00FF4608">
      <w:pPr>
        <w:spacing w:line="240" w:lineRule="auto"/>
        <w:ind w:left="720" w:hanging="720"/>
        <w:jc w:val="both"/>
        <w:rPr>
          <w:szCs w:val="24"/>
        </w:rPr>
      </w:pPr>
      <w:r w:rsidRPr="005000BF">
        <w:rPr>
          <w:szCs w:val="24"/>
        </w:rPr>
        <w:t xml:space="preserve">Cuetos, F. (2010). </w:t>
      </w:r>
      <w:r w:rsidRPr="005000BF">
        <w:rPr>
          <w:i/>
          <w:iCs/>
          <w:szCs w:val="24"/>
        </w:rPr>
        <w:t>Psicología de la lectura</w:t>
      </w:r>
      <w:r w:rsidRPr="005000BF">
        <w:rPr>
          <w:i/>
          <w:szCs w:val="24"/>
        </w:rPr>
        <w:t>.</w:t>
      </w:r>
      <w:r w:rsidRPr="005000BF">
        <w:rPr>
          <w:szCs w:val="24"/>
        </w:rPr>
        <w:t xml:space="preserve"> (8</w:t>
      </w:r>
      <w:r w:rsidRPr="005000BF">
        <w:rPr>
          <w:szCs w:val="24"/>
          <w:vertAlign w:val="superscript"/>
        </w:rPr>
        <w:t>th</w:t>
      </w:r>
      <w:r w:rsidRPr="005000BF">
        <w:rPr>
          <w:szCs w:val="24"/>
        </w:rPr>
        <w:t xml:space="preserve"> ed.). Wolters </w:t>
      </w:r>
      <w:proofErr w:type="spellStart"/>
      <w:r w:rsidRPr="005000BF">
        <w:rPr>
          <w:szCs w:val="24"/>
        </w:rPr>
        <w:t>Kluwer</w:t>
      </w:r>
      <w:proofErr w:type="spellEnd"/>
      <w:r w:rsidRPr="005000BF">
        <w:rPr>
          <w:szCs w:val="24"/>
        </w:rPr>
        <w:t>.</w:t>
      </w:r>
    </w:p>
    <w:p w14:paraId="3A9566B6" w14:textId="77777777" w:rsidR="00FF4608" w:rsidRPr="005000BF" w:rsidRDefault="00FF4608" w:rsidP="00FF4608">
      <w:pPr>
        <w:spacing w:line="240" w:lineRule="auto"/>
        <w:ind w:left="720" w:hanging="720"/>
        <w:jc w:val="both"/>
        <w:rPr>
          <w:szCs w:val="24"/>
        </w:rPr>
      </w:pPr>
      <w:r w:rsidRPr="005000BF">
        <w:rPr>
          <w:szCs w:val="24"/>
        </w:rPr>
        <w:t xml:space="preserve">Cuetos, F., Rodríguez, B., Ruano, E., &amp; Arribas, D. (2009). </w:t>
      </w:r>
      <w:r w:rsidRPr="005000BF">
        <w:rPr>
          <w:i/>
          <w:iCs/>
          <w:noProof/>
          <w:szCs w:val="24"/>
        </w:rPr>
        <w:t>PROLEC-R: Batería de evaluación de los procesos lectores</w:t>
      </w:r>
      <w:r w:rsidRPr="005000BF">
        <w:rPr>
          <w:szCs w:val="24"/>
        </w:rPr>
        <w:t>. (5</w:t>
      </w:r>
      <w:r w:rsidRPr="005000BF">
        <w:rPr>
          <w:szCs w:val="24"/>
          <w:vertAlign w:val="superscript"/>
        </w:rPr>
        <w:t>th</w:t>
      </w:r>
      <w:r w:rsidRPr="005000BF">
        <w:rPr>
          <w:szCs w:val="24"/>
        </w:rPr>
        <w:t xml:space="preserve"> ed.). TEA. </w:t>
      </w:r>
    </w:p>
    <w:p w14:paraId="10921FDF" w14:textId="77777777" w:rsidR="00FF4608" w:rsidRPr="005000BF" w:rsidRDefault="00FF4608" w:rsidP="00FF4608">
      <w:pPr>
        <w:spacing w:line="240" w:lineRule="auto"/>
        <w:ind w:left="720" w:hanging="720"/>
        <w:jc w:val="both"/>
        <w:rPr>
          <w:szCs w:val="24"/>
        </w:rPr>
      </w:pPr>
      <w:proofErr w:type="spellStart"/>
      <w:r w:rsidRPr="005000BF">
        <w:rPr>
          <w:szCs w:val="24"/>
        </w:rPr>
        <w:t>Galaburda</w:t>
      </w:r>
      <w:proofErr w:type="spellEnd"/>
      <w:r w:rsidRPr="005000BF">
        <w:rPr>
          <w:szCs w:val="24"/>
        </w:rPr>
        <w:t xml:space="preserve">, A. M., &amp; </w:t>
      </w:r>
      <w:proofErr w:type="spellStart"/>
      <w:r w:rsidRPr="005000BF">
        <w:rPr>
          <w:szCs w:val="24"/>
        </w:rPr>
        <w:t>Cestnick</w:t>
      </w:r>
      <w:proofErr w:type="spellEnd"/>
      <w:r w:rsidRPr="005000BF">
        <w:rPr>
          <w:szCs w:val="24"/>
        </w:rPr>
        <w:t xml:space="preserve">, L. (2003). Dislexia del desarrollo. </w:t>
      </w:r>
      <w:r w:rsidRPr="005000BF">
        <w:rPr>
          <w:i/>
          <w:iCs/>
          <w:szCs w:val="24"/>
        </w:rPr>
        <w:t>Revista de Neurología</w:t>
      </w:r>
      <w:r w:rsidRPr="005000BF">
        <w:rPr>
          <w:szCs w:val="24"/>
        </w:rPr>
        <w:t>,</w:t>
      </w:r>
      <w:r w:rsidRPr="005000BF">
        <w:rPr>
          <w:i/>
          <w:iCs/>
          <w:szCs w:val="24"/>
        </w:rPr>
        <w:t xml:space="preserve"> 36</w:t>
      </w:r>
      <w:r w:rsidRPr="005000BF">
        <w:rPr>
          <w:szCs w:val="24"/>
        </w:rPr>
        <w:t xml:space="preserve">(1), 3-9. </w:t>
      </w:r>
      <w:hyperlink r:id="rId16" w:history="1">
        <w:r w:rsidRPr="005000BF">
          <w:rPr>
            <w:rStyle w:val="Hipervnculo"/>
            <w:szCs w:val="24"/>
          </w:rPr>
          <w:t>https://doi.org/10.33588/rn.36s1.2003068</w:t>
        </w:r>
      </w:hyperlink>
      <w:r w:rsidRPr="005000BF">
        <w:rPr>
          <w:szCs w:val="24"/>
        </w:rPr>
        <w:t xml:space="preserve"> </w:t>
      </w:r>
    </w:p>
    <w:p w14:paraId="50DD79FD" w14:textId="77777777" w:rsidR="00FF4608" w:rsidRPr="005641A9" w:rsidRDefault="00FF4608" w:rsidP="00FF4608">
      <w:pPr>
        <w:spacing w:line="240" w:lineRule="auto"/>
        <w:ind w:left="720" w:hanging="720"/>
        <w:jc w:val="both"/>
        <w:rPr>
          <w:szCs w:val="24"/>
          <w:lang w:val="en-GB"/>
        </w:rPr>
      </w:pPr>
      <w:proofErr w:type="spellStart"/>
      <w:r w:rsidRPr="005000BF">
        <w:rPr>
          <w:szCs w:val="24"/>
        </w:rPr>
        <w:t>Galaburda</w:t>
      </w:r>
      <w:proofErr w:type="spellEnd"/>
      <w:r w:rsidRPr="005000BF">
        <w:rPr>
          <w:szCs w:val="24"/>
        </w:rPr>
        <w:t xml:space="preserve">, A. M., &amp; Livingstone, M. S. (1991). </w:t>
      </w:r>
      <w:r w:rsidRPr="005641A9">
        <w:rPr>
          <w:szCs w:val="24"/>
          <w:lang w:val="en-GB"/>
        </w:rPr>
        <w:t xml:space="preserve">Evidence for a magnocellular defect in developmental dyslexia. </w:t>
      </w:r>
      <w:r w:rsidRPr="005641A9">
        <w:rPr>
          <w:i/>
          <w:iCs/>
          <w:szCs w:val="24"/>
          <w:lang w:val="en-GB"/>
        </w:rPr>
        <w:t>Proceedings of the National Academy of Sciences</w:t>
      </w:r>
      <w:r w:rsidRPr="005641A9">
        <w:rPr>
          <w:szCs w:val="24"/>
          <w:lang w:val="en-GB"/>
        </w:rPr>
        <w:t xml:space="preserve">, </w:t>
      </w:r>
      <w:r w:rsidRPr="005641A9">
        <w:rPr>
          <w:i/>
          <w:iCs/>
          <w:szCs w:val="24"/>
          <w:lang w:val="en-GB"/>
        </w:rPr>
        <w:t>88</w:t>
      </w:r>
      <w:r w:rsidRPr="005641A9">
        <w:rPr>
          <w:szCs w:val="24"/>
          <w:lang w:val="en-GB"/>
        </w:rPr>
        <w:t xml:space="preserve">(18), 7943-7947. </w:t>
      </w:r>
      <w:hyperlink r:id="rId17" w:history="1">
        <w:r w:rsidRPr="005641A9">
          <w:rPr>
            <w:rStyle w:val="Hipervnculo"/>
            <w:szCs w:val="24"/>
            <w:lang w:val="en-GB"/>
          </w:rPr>
          <w:t>https://doi.org/10.1073/pnas.88.18.7943</w:t>
        </w:r>
      </w:hyperlink>
      <w:r w:rsidRPr="005641A9">
        <w:rPr>
          <w:szCs w:val="24"/>
          <w:lang w:val="en-GB"/>
        </w:rPr>
        <w:t xml:space="preserve"> </w:t>
      </w:r>
    </w:p>
    <w:p w14:paraId="5B9DBFCB"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Griffiths, P. G., Taylor, R. H., Henderson, L. M., &amp; Barrett, B. T. (2016). The effect of colored overlays and lenses on reading: a systematic review of the literature. </w:t>
      </w:r>
      <w:r w:rsidRPr="005641A9">
        <w:rPr>
          <w:i/>
          <w:iCs/>
          <w:szCs w:val="24"/>
          <w:lang w:val="en-GB"/>
        </w:rPr>
        <w:t>Ophthalmic and Physiological Optics</w:t>
      </w:r>
      <w:r w:rsidRPr="005641A9">
        <w:rPr>
          <w:szCs w:val="24"/>
          <w:lang w:val="en-GB"/>
        </w:rPr>
        <w:t>,</w:t>
      </w:r>
      <w:r w:rsidRPr="005641A9">
        <w:rPr>
          <w:i/>
          <w:iCs/>
          <w:szCs w:val="24"/>
          <w:lang w:val="en-GB"/>
        </w:rPr>
        <w:t xml:space="preserve"> 36</w:t>
      </w:r>
      <w:r w:rsidRPr="005641A9">
        <w:rPr>
          <w:szCs w:val="24"/>
          <w:lang w:val="en-GB"/>
        </w:rPr>
        <w:t xml:space="preserve">(5), 519-544. </w:t>
      </w:r>
      <w:hyperlink r:id="rId18" w:history="1">
        <w:r w:rsidRPr="005641A9">
          <w:rPr>
            <w:rStyle w:val="Hipervnculo"/>
            <w:szCs w:val="24"/>
            <w:lang w:val="en-GB"/>
          </w:rPr>
          <w:t>https://doi.org/10.1111/opo.12316</w:t>
        </w:r>
      </w:hyperlink>
      <w:r w:rsidRPr="005641A9">
        <w:rPr>
          <w:szCs w:val="24"/>
          <w:lang w:val="en-GB"/>
        </w:rPr>
        <w:t xml:space="preserve"> </w:t>
      </w:r>
    </w:p>
    <w:p w14:paraId="4DD3A344" w14:textId="77777777" w:rsidR="00FF4608" w:rsidRPr="005000BF" w:rsidRDefault="00FF4608" w:rsidP="00FF4608">
      <w:pPr>
        <w:spacing w:line="240" w:lineRule="auto"/>
        <w:ind w:left="720" w:hanging="720"/>
        <w:jc w:val="both"/>
        <w:rPr>
          <w:szCs w:val="24"/>
        </w:rPr>
      </w:pPr>
      <w:r w:rsidRPr="005641A9">
        <w:rPr>
          <w:szCs w:val="24"/>
          <w:lang w:val="en-GB"/>
        </w:rPr>
        <w:t xml:space="preserve">Guimarães, M. R. (2011). </w:t>
      </w:r>
      <w:r w:rsidRPr="005000BF">
        <w:rPr>
          <w:szCs w:val="24"/>
        </w:rPr>
        <w:t xml:space="preserve">Síndrome de </w:t>
      </w:r>
      <w:proofErr w:type="spellStart"/>
      <w:r w:rsidRPr="005000BF">
        <w:rPr>
          <w:szCs w:val="24"/>
        </w:rPr>
        <w:t>Irlen</w:t>
      </w:r>
      <w:proofErr w:type="spellEnd"/>
      <w:r w:rsidRPr="005000BF">
        <w:rPr>
          <w:szCs w:val="24"/>
        </w:rPr>
        <w:t xml:space="preserve">. </w:t>
      </w:r>
      <w:r w:rsidRPr="005000BF">
        <w:rPr>
          <w:i/>
          <w:szCs w:val="24"/>
        </w:rPr>
        <w:t xml:space="preserve">Revista multidisciplinar de </w:t>
      </w:r>
      <w:proofErr w:type="spellStart"/>
      <w:r w:rsidRPr="005000BF">
        <w:rPr>
          <w:i/>
          <w:szCs w:val="24"/>
        </w:rPr>
        <w:t>desenvolvimento</w:t>
      </w:r>
      <w:proofErr w:type="spellEnd"/>
      <w:r w:rsidRPr="005000BF">
        <w:rPr>
          <w:i/>
          <w:szCs w:val="24"/>
        </w:rPr>
        <w:t xml:space="preserve"> humano</w:t>
      </w:r>
      <w:r w:rsidRPr="005000BF">
        <w:rPr>
          <w:szCs w:val="24"/>
        </w:rPr>
        <w:t xml:space="preserve">, </w:t>
      </w:r>
      <w:r w:rsidRPr="005000BF">
        <w:rPr>
          <w:i/>
          <w:szCs w:val="24"/>
        </w:rPr>
        <w:t>1</w:t>
      </w:r>
      <w:r w:rsidRPr="005000BF">
        <w:rPr>
          <w:szCs w:val="24"/>
        </w:rPr>
        <w:t>(4), 41-47.</w:t>
      </w:r>
    </w:p>
    <w:p w14:paraId="4B2B3D59" w14:textId="77777777" w:rsidR="00FF4608" w:rsidRPr="005000BF" w:rsidRDefault="00FF4608" w:rsidP="00FF4608">
      <w:pPr>
        <w:spacing w:line="240" w:lineRule="auto"/>
        <w:ind w:left="720" w:hanging="720"/>
        <w:jc w:val="both"/>
        <w:rPr>
          <w:szCs w:val="24"/>
        </w:rPr>
      </w:pPr>
      <w:r w:rsidRPr="005000BF">
        <w:rPr>
          <w:szCs w:val="24"/>
        </w:rPr>
        <w:t xml:space="preserve">Guimarães, M. R., &amp; Guimarães, I. R. (2013). </w:t>
      </w:r>
      <w:proofErr w:type="spellStart"/>
      <w:r w:rsidRPr="005000BF">
        <w:rPr>
          <w:szCs w:val="24"/>
        </w:rPr>
        <w:t>Aprendizagem</w:t>
      </w:r>
      <w:proofErr w:type="spellEnd"/>
      <w:r w:rsidRPr="005000BF">
        <w:rPr>
          <w:szCs w:val="24"/>
        </w:rPr>
        <w:t xml:space="preserve"> e </w:t>
      </w:r>
      <w:proofErr w:type="spellStart"/>
      <w:r w:rsidRPr="005000BF">
        <w:rPr>
          <w:szCs w:val="24"/>
        </w:rPr>
        <w:t>leitura</w:t>
      </w:r>
      <w:proofErr w:type="spellEnd"/>
      <w:r w:rsidRPr="005000BF">
        <w:rPr>
          <w:szCs w:val="24"/>
        </w:rPr>
        <w:t xml:space="preserve">-Síndrome de </w:t>
      </w:r>
      <w:proofErr w:type="spellStart"/>
      <w:r w:rsidRPr="005000BF">
        <w:rPr>
          <w:szCs w:val="24"/>
        </w:rPr>
        <w:t>Irlen</w:t>
      </w:r>
      <w:proofErr w:type="spellEnd"/>
      <w:r w:rsidRPr="005000BF">
        <w:rPr>
          <w:szCs w:val="24"/>
        </w:rPr>
        <w:t xml:space="preserve">. </w:t>
      </w:r>
      <w:proofErr w:type="spellStart"/>
      <w:r w:rsidRPr="005000BF">
        <w:rPr>
          <w:i/>
          <w:iCs/>
          <w:szCs w:val="24"/>
        </w:rPr>
        <w:t>Artigos</w:t>
      </w:r>
      <w:proofErr w:type="spellEnd"/>
      <w:r w:rsidRPr="005000BF">
        <w:rPr>
          <w:szCs w:val="24"/>
        </w:rPr>
        <w:t xml:space="preserve">, </w:t>
      </w:r>
      <w:r w:rsidRPr="005000BF">
        <w:rPr>
          <w:i/>
          <w:iCs/>
          <w:szCs w:val="24"/>
        </w:rPr>
        <w:t>1</w:t>
      </w:r>
      <w:r w:rsidRPr="005000BF">
        <w:rPr>
          <w:szCs w:val="24"/>
        </w:rPr>
        <w:t xml:space="preserve">(1), 171-182. </w:t>
      </w:r>
      <w:hyperlink r:id="rId19" w:history="1">
        <w:r w:rsidRPr="005000BF">
          <w:rPr>
            <w:rStyle w:val="Hipervnculo"/>
            <w:szCs w:val="24"/>
          </w:rPr>
          <w:t>https://doi.org/10.13140/RG.2.1.5028.9049</w:t>
        </w:r>
      </w:hyperlink>
      <w:r w:rsidRPr="005000BF">
        <w:rPr>
          <w:szCs w:val="24"/>
        </w:rPr>
        <w:t xml:space="preserve"> </w:t>
      </w:r>
    </w:p>
    <w:p w14:paraId="54DD4A69" w14:textId="77777777" w:rsidR="00FF4608" w:rsidRPr="005641A9" w:rsidRDefault="00FF4608" w:rsidP="00FF4608">
      <w:pPr>
        <w:spacing w:line="240" w:lineRule="auto"/>
        <w:ind w:left="708" w:hanging="708"/>
        <w:jc w:val="both"/>
        <w:rPr>
          <w:szCs w:val="24"/>
          <w:lang w:val="en-GB"/>
        </w:rPr>
      </w:pPr>
      <w:r w:rsidRPr="005000BF">
        <w:rPr>
          <w:szCs w:val="24"/>
        </w:rPr>
        <w:t xml:space="preserve">Guimarães, M. R., </w:t>
      </w:r>
      <w:proofErr w:type="spellStart"/>
      <w:r w:rsidRPr="005000BF">
        <w:rPr>
          <w:szCs w:val="24"/>
        </w:rPr>
        <w:t>Vilhena</w:t>
      </w:r>
      <w:proofErr w:type="spellEnd"/>
      <w:r w:rsidRPr="005000BF">
        <w:rPr>
          <w:szCs w:val="24"/>
        </w:rPr>
        <w:t xml:space="preserve">, D. A., </w:t>
      </w:r>
      <w:proofErr w:type="spellStart"/>
      <w:r w:rsidRPr="005000BF">
        <w:rPr>
          <w:szCs w:val="24"/>
        </w:rPr>
        <w:t>Loew</w:t>
      </w:r>
      <w:proofErr w:type="spellEnd"/>
      <w:r w:rsidRPr="005000BF">
        <w:rPr>
          <w:szCs w:val="24"/>
        </w:rPr>
        <w:t xml:space="preserve">, S. J., &amp; Guimarães, R. Q. (2020). </w:t>
      </w:r>
      <w:r w:rsidRPr="005641A9">
        <w:rPr>
          <w:szCs w:val="24"/>
          <w:lang w:val="en-GB"/>
        </w:rPr>
        <w:t xml:space="preserve">Spectral overlays for reading difficulties: Oculomotor function and reading efficiency among children and adolescents with visual stress. </w:t>
      </w:r>
      <w:r w:rsidRPr="005641A9">
        <w:rPr>
          <w:i/>
          <w:iCs/>
          <w:szCs w:val="24"/>
          <w:lang w:val="en-GB"/>
        </w:rPr>
        <w:t>Perceptual and Motor Skills</w:t>
      </w:r>
      <w:r w:rsidRPr="005641A9">
        <w:rPr>
          <w:szCs w:val="24"/>
          <w:lang w:val="en-GB"/>
        </w:rPr>
        <w:t>,</w:t>
      </w:r>
      <w:r w:rsidRPr="005641A9">
        <w:rPr>
          <w:i/>
          <w:iCs/>
          <w:szCs w:val="24"/>
          <w:lang w:val="en-GB"/>
        </w:rPr>
        <w:t xml:space="preserve"> 127</w:t>
      </w:r>
      <w:r w:rsidRPr="005641A9">
        <w:rPr>
          <w:szCs w:val="24"/>
          <w:lang w:val="en-GB"/>
        </w:rPr>
        <w:t xml:space="preserve">(2), 490-509. </w:t>
      </w:r>
      <w:hyperlink r:id="rId20" w:history="1">
        <w:r w:rsidRPr="005641A9">
          <w:rPr>
            <w:rStyle w:val="Hipervnculo"/>
            <w:szCs w:val="24"/>
            <w:lang w:val="en-GB"/>
          </w:rPr>
          <w:t>https://doi.org/10.1177/0031512519889772</w:t>
        </w:r>
      </w:hyperlink>
      <w:r w:rsidRPr="005641A9">
        <w:rPr>
          <w:szCs w:val="24"/>
          <w:lang w:val="en-GB"/>
        </w:rPr>
        <w:t xml:space="preserve"> </w:t>
      </w:r>
    </w:p>
    <w:p w14:paraId="487C7822" w14:textId="77777777" w:rsidR="00FF4608" w:rsidRPr="005000BF" w:rsidRDefault="00FF4608" w:rsidP="00FF4608">
      <w:pPr>
        <w:spacing w:line="240" w:lineRule="auto"/>
        <w:ind w:left="720" w:hanging="720"/>
        <w:jc w:val="both"/>
        <w:rPr>
          <w:szCs w:val="24"/>
        </w:rPr>
      </w:pPr>
      <w:r w:rsidRPr="005641A9">
        <w:rPr>
          <w:szCs w:val="24"/>
          <w:lang w:val="en-GB"/>
        </w:rPr>
        <w:t xml:space="preserve">Guimarães, R. Q., Vilhena, D. A., Nogueira, M. R. V., Guimarães, J. R., &amp; Guimarães, M. R. (2023). </w:t>
      </w:r>
      <w:r w:rsidRPr="005000BF">
        <w:rPr>
          <w:szCs w:val="24"/>
        </w:rPr>
        <w:t xml:space="preserve">Programa </w:t>
      </w:r>
      <w:proofErr w:type="spellStart"/>
      <w:r w:rsidRPr="005000BF">
        <w:rPr>
          <w:szCs w:val="24"/>
        </w:rPr>
        <w:t>Bom</w:t>
      </w:r>
      <w:proofErr w:type="spellEnd"/>
      <w:r w:rsidRPr="005000BF">
        <w:rPr>
          <w:szCs w:val="24"/>
        </w:rPr>
        <w:t xml:space="preserve"> </w:t>
      </w:r>
      <w:proofErr w:type="spellStart"/>
      <w:r w:rsidRPr="005000BF">
        <w:rPr>
          <w:szCs w:val="24"/>
        </w:rPr>
        <w:t>Começo</w:t>
      </w:r>
      <w:proofErr w:type="spellEnd"/>
      <w:r w:rsidRPr="005000BF">
        <w:rPr>
          <w:szCs w:val="24"/>
        </w:rPr>
        <w:t xml:space="preserve"> para </w:t>
      </w:r>
      <w:proofErr w:type="spellStart"/>
      <w:r w:rsidRPr="005000BF">
        <w:rPr>
          <w:szCs w:val="24"/>
        </w:rPr>
        <w:t>saúde</w:t>
      </w:r>
      <w:proofErr w:type="spellEnd"/>
      <w:r w:rsidRPr="005000BF">
        <w:rPr>
          <w:szCs w:val="24"/>
        </w:rPr>
        <w:t xml:space="preserve"> da </w:t>
      </w:r>
      <w:proofErr w:type="spellStart"/>
      <w:r w:rsidRPr="005000BF">
        <w:rPr>
          <w:szCs w:val="24"/>
        </w:rPr>
        <w:t>criança</w:t>
      </w:r>
      <w:proofErr w:type="spellEnd"/>
      <w:r w:rsidRPr="005000BF">
        <w:rPr>
          <w:szCs w:val="24"/>
        </w:rPr>
        <w:t xml:space="preserve">: </w:t>
      </w:r>
      <w:proofErr w:type="spellStart"/>
      <w:r w:rsidRPr="005000BF">
        <w:rPr>
          <w:szCs w:val="24"/>
        </w:rPr>
        <w:t>identificação</w:t>
      </w:r>
      <w:proofErr w:type="spellEnd"/>
      <w:r w:rsidRPr="005000BF">
        <w:rPr>
          <w:szCs w:val="24"/>
        </w:rPr>
        <w:t xml:space="preserve"> e </w:t>
      </w:r>
      <w:proofErr w:type="spellStart"/>
      <w:r w:rsidRPr="005000BF">
        <w:rPr>
          <w:szCs w:val="24"/>
        </w:rPr>
        <w:t>intervenção</w:t>
      </w:r>
      <w:proofErr w:type="spellEnd"/>
      <w:r w:rsidRPr="005000BF">
        <w:rPr>
          <w:szCs w:val="24"/>
        </w:rPr>
        <w:t xml:space="preserve"> </w:t>
      </w:r>
      <w:proofErr w:type="spellStart"/>
      <w:r w:rsidRPr="005000BF">
        <w:rPr>
          <w:szCs w:val="24"/>
        </w:rPr>
        <w:t>nas</w:t>
      </w:r>
      <w:proofErr w:type="spellEnd"/>
      <w:r w:rsidRPr="005000BF">
        <w:rPr>
          <w:szCs w:val="24"/>
        </w:rPr>
        <w:t xml:space="preserve"> </w:t>
      </w:r>
      <w:proofErr w:type="spellStart"/>
      <w:r w:rsidRPr="005000BF">
        <w:rPr>
          <w:szCs w:val="24"/>
        </w:rPr>
        <w:t>dificuldades</w:t>
      </w:r>
      <w:proofErr w:type="spellEnd"/>
      <w:r w:rsidRPr="005000BF">
        <w:rPr>
          <w:szCs w:val="24"/>
        </w:rPr>
        <w:t xml:space="preserve"> de </w:t>
      </w:r>
      <w:proofErr w:type="spellStart"/>
      <w:r w:rsidRPr="005000BF">
        <w:rPr>
          <w:szCs w:val="24"/>
        </w:rPr>
        <w:t>aprendizagem</w:t>
      </w:r>
      <w:proofErr w:type="spellEnd"/>
      <w:r w:rsidRPr="005000BF">
        <w:rPr>
          <w:szCs w:val="24"/>
        </w:rPr>
        <w:t xml:space="preserve"> relacionadas à </w:t>
      </w:r>
      <w:proofErr w:type="spellStart"/>
      <w:r w:rsidRPr="005000BF">
        <w:rPr>
          <w:szCs w:val="24"/>
        </w:rPr>
        <w:t>visão</w:t>
      </w:r>
      <w:proofErr w:type="spellEnd"/>
      <w:r w:rsidRPr="005000BF">
        <w:rPr>
          <w:szCs w:val="24"/>
        </w:rPr>
        <w:t xml:space="preserve">. </w:t>
      </w:r>
      <w:r w:rsidRPr="005000BF">
        <w:rPr>
          <w:i/>
          <w:iCs/>
          <w:szCs w:val="24"/>
        </w:rPr>
        <w:t>Tempus Psicológico</w:t>
      </w:r>
      <w:r w:rsidRPr="005000BF">
        <w:rPr>
          <w:szCs w:val="24"/>
        </w:rPr>
        <w:t>,</w:t>
      </w:r>
      <w:r w:rsidRPr="005000BF">
        <w:rPr>
          <w:i/>
          <w:iCs/>
          <w:szCs w:val="24"/>
        </w:rPr>
        <w:t xml:space="preserve"> </w:t>
      </w:r>
      <w:r w:rsidRPr="007A2C88">
        <w:rPr>
          <w:szCs w:val="24"/>
        </w:rPr>
        <w:t>6,</w:t>
      </w:r>
      <w:r w:rsidRPr="005000BF">
        <w:rPr>
          <w:szCs w:val="24"/>
        </w:rPr>
        <w:t xml:space="preserve"> 138-161. </w:t>
      </w:r>
      <w:hyperlink r:id="rId21">
        <w:r w:rsidRPr="005000BF">
          <w:rPr>
            <w:rStyle w:val="Hipervnculo"/>
            <w:szCs w:val="24"/>
          </w:rPr>
          <w:t>https://doi.org/10.30554/tempuspsi.6.1.4733.2023</w:t>
        </w:r>
      </w:hyperlink>
    </w:p>
    <w:p w14:paraId="6A198FF5" w14:textId="77777777" w:rsidR="00FF4608" w:rsidRPr="005641A9" w:rsidRDefault="00FF4608" w:rsidP="00FF4608">
      <w:pPr>
        <w:spacing w:line="240" w:lineRule="auto"/>
        <w:ind w:left="720" w:hanging="720"/>
        <w:jc w:val="both"/>
        <w:rPr>
          <w:szCs w:val="24"/>
          <w:lang w:val="en-GB"/>
        </w:rPr>
      </w:pPr>
      <w:r w:rsidRPr="005000BF">
        <w:rPr>
          <w:noProof/>
          <w:szCs w:val="24"/>
        </w:rPr>
        <w:t xml:space="preserve">Hollis, J., &amp; Allen, P. M. (2006). </w:t>
      </w:r>
      <w:r w:rsidRPr="005641A9">
        <w:rPr>
          <w:szCs w:val="24"/>
          <w:lang w:val="en-GB"/>
        </w:rPr>
        <w:t xml:space="preserve">Screening for Meares-Irlen sensitivity in adults: Can assessment methods predict changes in reading speed? </w:t>
      </w:r>
      <w:r w:rsidRPr="005641A9">
        <w:rPr>
          <w:i/>
          <w:iCs/>
          <w:szCs w:val="24"/>
          <w:lang w:val="en-GB"/>
        </w:rPr>
        <w:t>Ophthalmic and Physiological Optics</w:t>
      </w:r>
      <w:r w:rsidRPr="005641A9">
        <w:rPr>
          <w:szCs w:val="24"/>
          <w:lang w:val="en-GB"/>
        </w:rPr>
        <w:t xml:space="preserve">, </w:t>
      </w:r>
      <w:r w:rsidRPr="005641A9">
        <w:rPr>
          <w:i/>
          <w:iCs/>
          <w:szCs w:val="24"/>
          <w:lang w:val="en-GB"/>
        </w:rPr>
        <w:t>26</w:t>
      </w:r>
      <w:r w:rsidRPr="005641A9">
        <w:rPr>
          <w:szCs w:val="24"/>
          <w:lang w:val="en-GB"/>
        </w:rPr>
        <w:t xml:space="preserve">(6), 566-571. </w:t>
      </w:r>
      <w:hyperlink r:id="rId22">
        <w:r w:rsidRPr="005641A9">
          <w:rPr>
            <w:rStyle w:val="Hipervnculo"/>
            <w:szCs w:val="24"/>
            <w:lang w:val="en-GB"/>
          </w:rPr>
          <w:t>https://doi.org/10.1111/j.1475-1313.2006.00401.x</w:t>
        </w:r>
      </w:hyperlink>
      <w:r w:rsidRPr="005641A9">
        <w:rPr>
          <w:szCs w:val="24"/>
          <w:lang w:val="en-GB"/>
        </w:rPr>
        <w:t xml:space="preserve"> </w:t>
      </w:r>
    </w:p>
    <w:p w14:paraId="71B4A183" w14:textId="77777777" w:rsidR="00FF4608" w:rsidRPr="005000BF" w:rsidRDefault="00FF4608" w:rsidP="00FF4608">
      <w:pPr>
        <w:spacing w:line="240" w:lineRule="auto"/>
        <w:ind w:left="720" w:hanging="720"/>
        <w:jc w:val="both"/>
        <w:rPr>
          <w:rFonts w:eastAsia="Times New Roman"/>
          <w:szCs w:val="24"/>
        </w:rPr>
      </w:pPr>
      <w:r w:rsidRPr="005641A9">
        <w:rPr>
          <w:color w:val="000000" w:themeColor="text1"/>
          <w:szCs w:val="24"/>
          <w:lang w:val="en-GB"/>
        </w:rPr>
        <w:t xml:space="preserve">Hu, J., Dong, X., &amp; Peng, Y. (2022). Discovery of the key contextual factors relevant to the reading performance of elementary school students from 61 countries/regions: Insight from a machine learning-based approach. </w:t>
      </w:r>
      <w:r w:rsidRPr="005000BF">
        <w:rPr>
          <w:i/>
          <w:iCs/>
          <w:color w:val="000000" w:themeColor="text1"/>
          <w:szCs w:val="24"/>
        </w:rPr>
        <w:t xml:space="preserve">Reading and </w:t>
      </w:r>
      <w:proofErr w:type="spellStart"/>
      <w:r w:rsidRPr="005000BF">
        <w:rPr>
          <w:i/>
          <w:iCs/>
          <w:color w:val="000000" w:themeColor="text1"/>
          <w:szCs w:val="24"/>
        </w:rPr>
        <w:t>Writing</w:t>
      </w:r>
      <w:proofErr w:type="spellEnd"/>
      <w:r w:rsidRPr="005000BF">
        <w:rPr>
          <w:color w:val="000000" w:themeColor="text1"/>
          <w:szCs w:val="24"/>
        </w:rPr>
        <w:t>,</w:t>
      </w:r>
      <w:r w:rsidRPr="005000BF">
        <w:rPr>
          <w:i/>
          <w:iCs/>
          <w:color w:val="000000" w:themeColor="text1"/>
          <w:szCs w:val="24"/>
        </w:rPr>
        <w:t xml:space="preserve"> 35</w:t>
      </w:r>
      <w:r w:rsidRPr="005000BF">
        <w:rPr>
          <w:color w:val="000000" w:themeColor="text1"/>
          <w:szCs w:val="24"/>
        </w:rPr>
        <w:t xml:space="preserve">(1), 93-127. </w:t>
      </w:r>
      <w:hyperlink r:id="rId23" w:history="1">
        <w:r w:rsidRPr="005000BF">
          <w:rPr>
            <w:rStyle w:val="Hipervnculo"/>
            <w:rFonts w:eastAsia="Times New Roman"/>
            <w:szCs w:val="24"/>
          </w:rPr>
          <w:t>https://doi.org/10.1007/s11145-021-10176-z</w:t>
        </w:r>
      </w:hyperlink>
    </w:p>
    <w:p w14:paraId="39A513EE" w14:textId="77777777" w:rsidR="00FF4608" w:rsidRPr="005000BF" w:rsidRDefault="00FF4608" w:rsidP="00FF4608">
      <w:pPr>
        <w:spacing w:line="240" w:lineRule="auto"/>
        <w:ind w:left="720" w:hanging="720"/>
        <w:jc w:val="both"/>
        <w:rPr>
          <w:noProof/>
          <w:szCs w:val="24"/>
        </w:rPr>
      </w:pPr>
      <w:r w:rsidRPr="005000BF">
        <w:rPr>
          <w:noProof/>
          <w:szCs w:val="24"/>
        </w:rPr>
        <w:lastRenderedPageBreak/>
        <w:t xml:space="preserve">INEC (2011). </w:t>
      </w:r>
      <w:r w:rsidRPr="005000BF">
        <w:rPr>
          <w:i/>
          <w:iCs/>
          <w:noProof/>
          <w:szCs w:val="24"/>
        </w:rPr>
        <w:t>Encuesta de estratificación del nivel socioeconómico</w:t>
      </w:r>
      <w:r w:rsidRPr="005000BF">
        <w:rPr>
          <w:noProof/>
          <w:szCs w:val="24"/>
        </w:rPr>
        <w:t xml:space="preserve">. </w:t>
      </w:r>
      <w:hyperlink r:id="rId24" w:history="1">
        <w:r w:rsidRPr="005000BF">
          <w:rPr>
            <w:rStyle w:val="Hipervnculo"/>
            <w:szCs w:val="24"/>
          </w:rPr>
          <w:t>https://www.ecuadorencifras.gob.ec/encuesta-de-estratificacion-del-nivel-socioeconomico/</w:t>
        </w:r>
      </w:hyperlink>
      <w:r w:rsidRPr="005000BF">
        <w:rPr>
          <w:noProof/>
          <w:szCs w:val="24"/>
        </w:rPr>
        <w:t xml:space="preserve"> </w:t>
      </w:r>
    </w:p>
    <w:p w14:paraId="0CFA5653"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Irlen, H. (1983). Successful treatment of learning difficulties. </w:t>
      </w:r>
      <w:r w:rsidRPr="005641A9">
        <w:rPr>
          <w:i/>
          <w:iCs/>
          <w:szCs w:val="24"/>
          <w:lang w:val="en-GB"/>
        </w:rPr>
        <w:t>91</w:t>
      </w:r>
      <w:r w:rsidRPr="005641A9">
        <w:rPr>
          <w:i/>
          <w:iCs/>
          <w:szCs w:val="24"/>
          <w:vertAlign w:val="superscript"/>
          <w:lang w:val="en-GB"/>
        </w:rPr>
        <w:t>st</w:t>
      </w:r>
      <w:r w:rsidRPr="005641A9">
        <w:rPr>
          <w:i/>
          <w:iCs/>
          <w:szCs w:val="24"/>
          <w:lang w:val="en-GB"/>
        </w:rPr>
        <w:t xml:space="preserve"> Annual Convention of the American Psychological Association</w:t>
      </w:r>
      <w:r w:rsidRPr="005641A9">
        <w:rPr>
          <w:szCs w:val="24"/>
          <w:lang w:val="en-GB"/>
        </w:rPr>
        <w:t>, 26-30.</w:t>
      </w:r>
    </w:p>
    <w:p w14:paraId="7ACE5EDA"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Irlen, H. (2005). </w:t>
      </w:r>
      <w:r w:rsidRPr="005641A9">
        <w:rPr>
          <w:i/>
          <w:iCs/>
          <w:noProof/>
          <w:szCs w:val="24"/>
          <w:lang w:val="en-GB"/>
        </w:rPr>
        <w:t>Reading by the colors: Overcoming dyslexia and other reading disabilities through the Irlen Method</w:t>
      </w:r>
      <w:r w:rsidRPr="005641A9">
        <w:rPr>
          <w:szCs w:val="24"/>
          <w:lang w:val="en-GB"/>
        </w:rPr>
        <w:t>. Penguin Group.</w:t>
      </w:r>
    </w:p>
    <w:p w14:paraId="5A19D3F2" w14:textId="54706EDB" w:rsidR="00FF4608" w:rsidRPr="005641A9" w:rsidRDefault="00FF4608" w:rsidP="00FF4608">
      <w:pPr>
        <w:spacing w:line="240" w:lineRule="auto"/>
        <w:ind w:left="720" w:hanging="720"/>
        <w:jc w:val="both"/>
        <w:rPr>
          <w:szCs w:val="24"/>
          <w:lang w:val="en-GB"/>
        </w:rPr>
      </w:pPr>
      <w:r w:rsidRPr="005641A9">
        <w:rPr>
          <w:szCs w:val="24"/>
          <w:lang w:val="en-GB"/>
        </w:rPr>
        <w:t xml:space="preserve">Irlen, H. (2010). </w:t>
      </w:r>
      <w:r w:rsidRPr="005641A9">
        <w:rPr>
          <w:i/>
          <w:iCs/>
          <w:szCs w:val="24"/>
          <w:lang w:val="en-GB"/>
        </w:rPr>
        <w:t>Irlen Revolution</w:t>
      </w:r>
      <w:r w:rsidRPr="005641A9">
        <w:rPr>
          <w:szCs w:val="24"/>
          <w:lang w:val="en-GB"/>
        </w:rPr>
        <w:t>. (2</w:t>
      </w:r>
      <w:r w:rsidRPr="005641A9">
        <w:rPr>
          <w:szCs w:val="24"/>
          <w:vertAlign w:val="superscript"/>
          <w:lang w:val="en-GB"/>
        </w:rPr>
        <w:t>nd</w:t>
      </w:r>
      <w:r w:rsidRPr="005641A9">
        <w:rPr>
          <w:szCs w:val="24"/>
          <w:lang w:val="en-GB"/>
        </w:rPr>
        <w:t xml:space="preserve"> ed.). D</w:t>
      </w:r>
      <w:r w:rsidR="00C55A98" w:rsidRPr="005641A9">
        <w:rPr>
          <w:szCs w:val="24"/>
          <w:lang w:val="en-GB"/>
        </w:rPr>
        <w:t>’</w:t>
      </w:r>
      <w:r w:rsidRPr="005641A9">
        <w:rPr>
          <w:szCs w:val="24"/>
          <w:lang w:val="en-GB"/>
        </w:rPr>
        <w:t>Altorio, Michelle.</w:t>
      </w:r>
    </w:p>
    <w:p w14:paraId="2BE4C368"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Jeanes, R., Busby, A., Martin, J., Lewis, E., Stevenson, N., Pointon, D., &amp; Wilkins, A. (1997). Prolonged use of coloured overlays for classroom reading. </w:t>
      </w:r>
      <w:r w:rsidRPr="005641A9">
        <w:rPr>
          <w:i/>
          <w:iCs/>
          <w:szCs w:val="24"/>
          <w:lang w:val="en-GB"/>
        </w:rPr>
        <w:t>British Journal of Psychology</w:t>
      </w:r>
      <w:r w:rsidRPr="005641A9">
        <w:rPr>
          <w:szCs w:val="24"/>
          <w:lang w:val="en-GB"/>
        </w:rPr>
        <w:t>,</w:t>
      </w:r>
      <w:r w:rsidRPr="005641A9">
        <w:rPr>
          <w:i/>
          <w:iCs/>
          <w:szCs w:val="24"/>
          <w:lang w:val="en-GB"/>
        </w:rPr>
        <w:t xml:space="preserve"> 88</w:t>
      </w:r>
      <w:r w:rsidRPr="005641A9">
        <w:rPr>
          <w:szCs w:val="24"/>
          <w:lang w:val="en-GB"/>
        </w:rPr>
        <w:t xml:space="preserve">(4), 541-548. </w:t>
      </w:r>
      <w:hyperlink r:id="rId25" w:history="1">
        <w:r w:rsidRPr="005641A9">
          <w:rPr>
            <w:rStyle w:val="Hipervnculo"/>
            <w:szCs w:val="24"/>
            <w:lang w:val="en-GB"/>
          </w:rPr>
          <w:t>https://doi.org/10.1111/j.2044-8295.1997.tb02656.x</w:t>
        </w:r>
      </w:hyperlink>
      <w:r w:rsidRPr="005641A9">
        <w:rPr>
          <w:szCs w:val="24"/>
          <w:lang w:val="en-GB"/>
        </w:rPr>
        <w:t xml:space="preserve"> </w:t>
      </w:r>
    </w:p>
    <w:p w14:paraId="0229341E"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Johnson, P. J., Saba, G., Dorain, E., &amp; Belmont, S. (2000). A study to test the effectiveness of reading with Irlen coloured overlays for students with Irlen/Scotopic sensitivity syndrome. In </w:t>
      </w:r>
      <w:r w:rsidRPr="005641A9">
        <w:rPr>
          <w:i/>
          <w:iCs/>
          <w:szCs w:val="24"/>
          <w:lang w:val="en-GB"/>
        </w:rPr>
        <w:t>6th Irlen International Conference, Australia</w:t>
      </w:r>
      <w:r w:rsidRPr="005641A9">
        <w:rPr>
          <w:szCs w:val="24"/>
          <w:lang w:val="en-GB"/>
        </w:rPr>
        <w:t>.</w:t>
      </w:r>
    </w:p>
    <w:p w14:paraId="01C11362"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Kriss, I., &amp; Evans, B. J. W. (2005). The relationship between dyslexia and Meares-Irlen Syndrome. </w:t>
      </w:r>
      <w:r w:rsidRPr="005641A9">
        <w:rPr>
          <w:i/>
          <w:iCs/>
          <w:szCs w:val="24"/>
          <w:lang w:val="en-GB"/>
        </w:rPr>
        <w:t>Journal of Research in Reading</w:t>
      </w:r>
      <w:r w:rsidRPr="005641A9">
        <w:rPr>
          <w:szCs w:val="24"/>
          <w:lang w:val="en-GB"/>
        </w:rPr>
        <w:t xml:space="preserve">, </w:t>
      </w:r>
      <w:r w:rsidRPr="005641A9">
        <w:rPr>
          <w:i/>
          <w:iCs/>
          <w:szCs w:val="24"/>
          <w:lang w:val="en-GB"/>
        </w:rPr>
        <w:t>28</w:t>
      </w:r>
      <w:r w:rsidRPr="005641A9">
        <w:rPr>
          <w:szCs w:val="24"/>
          <w:lang w:val="en-GB"/>
        </w:rPr>
        <w:t xml:space="preserve">(3), 350-364. </w:t>
      </w:r>
      <w:hyperlink r:id="rId26" w:history="1">
        <w:r w:rsidRPr="005641A9">
          <w:rPr>
            <w:rStyle w:val="Hipervnculo"/>
            <w:szCs w:val="24"/>
            <w:lang w:val="en-GB"/>
          </w:rPr>
          <w:t>https://doi.org/10.1111/j.1467-9817.2005.00274.x</w:t>
        </w:r>
      </w:hyperlink>
      <w:r w:rsidRPr="005641A9">
        <w:rPr>
          <w:szCs w:val="24"/>
          <w:lang w:val="en-GB"/>
        </w:rPr>
        <w:t xml:space="preserve"> </w:t>
      </w:r>
    </w:p>
    <w:p w14:paraId="671137B8" w14:textId="77777777" w:rsidR="00FF4608" w:rsidRPr="005641A9" w:rsidRDefault="00FF4608" w:rsidP="00FF4608">
      <w:pPr>
        <w:spacing w:line="240" w:lineRule="auto"/>
        <w:ind w:left="720" w:hanging="720"/>
        <w:jc w:val="both"/>
        <w:rPr>
          <w:noProof/>
          <w:szCs w:val="24"/>
          <w:lang w:val="en-GB"/>
        </w:rPr>
      </w:pPr>
      <w:r w:rsidRPr="005641A9">
        <w:rPr>
          <w:szCs w:val="24"/>
          <w:lang w:val="en-GB"/>
        </w:rPr>
        <w:t xml:space="preserve">Miyasaka, J. D. S., Gonzaga-Vieira, R. V., Novalo-Goto, E. S., Montagna, E., &amp; Wajnsztejn, R. (2019). Irlen syndrome: Systematic review and level of evidence analysis. </w:t>
      </w:r>
      <w:r w:rsidRPr="005641A9">
        <w:rPr>
          <w:i/>
          <w:iCs/>
          <w:szCs w:val="24"/>
          <w:lang w:val="en-GB"/>
        </w:rPr>
        <w:t>Arquivos de Neuro-Psiquiatria</w:t>
      </w:r>
      <w:r w:rsidRPr="005641A9">
        <w:rPr>
          <w:szCs w:val="24"/>
          <w:lang w:val="en-GB"/>
        </w:rPr>
        <w:t>,</w:t>
      </w:r>
      <w:r w:rsidRPr="005641A9">
        <w:rPr>
          <w:i/>
          <w:iCs/>
          <w:szCs w:val="24"/>
          <w:lang w:val="en-GB"/>
        </w:rPr>
        <w:t xml:space="preserve"> 77</w:t>
      </w:r>
      <w:r w:rsidRPr="005641A9">
        <w:rPr>
          <w:szCs w:val="24"/>
          <w:lang w:val="en-GB"/>
        </w:rPr>
        <w:t xml:space="preserve">(3), 194-207. </w:t>
      </w:r>
      <w:hyperlink r:id="rId27" w:history="1">
        <w:r w:rsidRPr="005641A9">
          <w:rPr>
            <w:rStyle w:val="Hipervnculo"/>
            <w:szCs w:val="24"/>
            <w:lang w:val="en-GB"/>
          </w:rPr>
          <w:t>https://doi.org/10.1590/0004-282x20190014</w:t>
        </w:r>
      </w:hyperlink>
      <w:r w:rsidRPr="005641A9">
        <w:rPr>
          <w:szCs w:val="24"/>
          <w:lang w:val="en-GB"/>
        </w:rPr>
        <w:t xml:space="preserve"> </w:t>
      </w:r>
    </w:p>
    <w:p w14:paraId="1A9389A0"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Monger, L., Wilkins, A. J., &amp; Allen, P. (2015). Identifying visual stress during a routine eye examination. </w:t>
      </w:r>
      <w:r w:rsidRPr="005641A9">
        <w:rPr>
          <w:i/>
          <w:iCs/>
          <w:szCs w:val="24"/>
          <w:lang w:val="en-GB"/>
        </w:rPr>
        <w:t>Journal of Optometry</w:t>
      </w:r>
      <w:r w:rsidRPr="005641A9">
        <w:rPr>
          <w:szCs w:val="24"/>
          <w:lang w:val="en-GB"/>
        </w:rPr>
        <w:t xml:space="preserve">, </w:t>
      </w:r>
      <w:r w:rsidRPr="005641A9">
        <w:rPr>
          <w:i/>
          <w:iCs/>
          <w:szCs w:val="24"/>
          <w:lang w:val="en-GB"/>
        </w:rPr>
        <w:t>8</w:t>
      </w:r>
      <w:r w:rsidRPr="005641A9">
        <w:rPr>
          <w:szCs w:val="24"/>
          <w:lang w:val="en-GB"/>
        </w:rPr>
        <w:t xml:space="preserve">(2), 140-145. </w:t>
      </w:r>
      <w:hyperlink r:id="rId28" w:history="1">
        <w:r w:rsidRPr="005641A9">
          <w:rPr>
            <w:rStyle w:val="Hipervnculo"/>
            <w:szCs w:val="24"/>
            <w:lang w:val="en-GB"/>
          </w:rPr>
          <w:t>https://doi.org/10.1016/j.optom.2014.10.001</w:t>
        </w:r>
      </w:hyperlink>
      <w:r w:rsidRPr="005641A9">
        <w:rPr>
          <w:szCs w:val="24"/>
          <w:lang w:val="en-GB"/>
        </w:rPr>
        <w:t xml:space="preserve"> </w:t>
      </w:r>
    </w:p>
    <w:p w14:paraId="29136DA8"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Nandakumar, K., &amp; Leat, S. J. (2008). Dyslexia: A review of two theories. </w:t>
      </w:r>
      <w:r w:rsidRPr="005641A9">
        <w:rPr>
          <w:i/>
          <w:iCs/>
          <w:szCs w:val="24"/>
          <w:lang w:val="en-GB"/>
        </w:rPr>
        <w:t>Clinical and Experimental Optometry</w:t>
      </w:r>
      <w:r w:rsidRPr="005641A9">
        <w:rPr>
          <w:szCs w:val="24"/>
          <w:lang w:val="en-GB"/>
        </w:rPr>
        <w:t xml:space="preserve">, </w:t>
      </w:r>
      <w:r w:rsidRPr="005641A9">
        <w:rPr>
          <w:i/>
          <w:iCs/>
          <w:szCs w:val="24"/>
          <w:lang w:val="en-GB"/>
        </w:rPr>
        <w:t>91</w:t>
      </w:r>
      <w:r w:rsidRPr="005641A9">
        <w:rPr>
          <w:szCs w:val="24"/>
          <w:lang w:val="en-GB"/>
        </w:rPr>
        <w:t xml:space="preserve">(4), 333-340. </w:t>
      </w:r>
      <w:hyperlink r:id="rId29">
        <w:r w:rsidRPr="005641A9">
          <w:rPr>
            <w:rStyle w:val="Hipervnculo"/>
            <w:szCs w:val="24"/>
            <w:lang w:val="en-GB"/>
          </w:rPr>
          <w:t>https://doi.org/10.1111/j.1444-0938.2008.00277.x</w:t>
        </w:r>
      </w:hyperlink>
      <w:r w:rsidRPr="005641A9">
        <w:rPr>
          <w:szCs w:val="24"/>
          <w:lang w:val="en-GB"/>
        </w:rPr>
        <w:t xml:space="preserve">  </w:t>
      </w:r>
    </w:p>
    <w:p w14:paraId="69629827"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Perfetti, C. A. (1994). Psycholinguistics and reading ability. In M. A. Gernsbacher (Ed.), </w:t>
      </w:r>
      <w:r w:rsidRPr="005641A9">
        <w:rPr>
          <w:i/>
          <w:iCs/>
          <w:szCs w:val="24"/>
          <w:lang w:val="en-GB"/>
        </w:rPr>
        <w:t>Handbook of Psycholinguistics</w:t>
      </w:r>
      <w:r w:rsidRPr="005641A9">
        <w:rPr>
          <w:szCs w:val="24"/>
          <w:lang w:val="en-GB"/>
        </w:rPr>
        <w:t xml:space="preserve"> (pp. 849-894). Academic Press.</w:t>
      </w:r>
    </w:p>
    <w:p w14:paraId="0673ED02" w14:textId="77777777" w:rsidR="00FF4608" w:rsidRPr="005641A9" w:rsidRDefault="00FF4608" w:rsidP="00FF4608">
      <w:pPr>
        <w:spacing w:line="240" w:lineRule="auto"/>
        <w:ind w:left="720" w:hanging="720"/>
        <w:jc w:val="both"/>
        <w:rPr>
          <w:rFonts w:eastAsiaTheme="minorHAnsi"/>
          <w:color w:val="231F20"/>
          <w:szCs w:val="24"/>
          <w:lang w:val="en-GB" w:eastAsia="en-US"/>
        </w:rPr>
      </w:pPr>
      <w:r w:rsidRPr="005641A9">
        <w:rPr>
          <w:szCs w:val="24"/>
          <w:lang w:val="en-GB"/>
        </w:rPr>
        <w:t xml:space="preserve">Perfetti, C.A., &amp; Staffura, J. (2014). Word knowledge in a theory of reading comprehension. </w:t>
      </w:r>
      <w:r w:rsidRPr="005641A9">
        <w:rPr>
          <w:i/>
          <w:iCs/>
          <w:szCs w:val="24"/>
          <w:lang w:val="en-GB"/>
        </w:rPr>
        <w:t>Scientific Studies of Reading</w:t>
      </w:r>
      <w:r w:rsidRPr="005641A9">
        <w:rPr>
          <w:szCs w:val="24"/>
          <w:lang w:val="en-GB"/>
        </w:rPr>
        <w:t>,</w:t>
      </w:r>
      <w:r w:rsidRPr="005641A9">
        <w:rPr>
          <w:i/>
          <w:iCs/>
          <w:szCs w:val="24"/>
          <w:lang w:val="en-GB"/>
        </w:rPr>
        <w:t xml:space="preserve"> 18</w:t>
      </w:r>
      <w:r w:rsidRPr="005641A9">
        <w:rPr>
          <w:szCs w:val="24"/>
          <w:lang w:val="en-GB"/>
        </w:rPr>
        <w:t xml:space="preserve">, 22-37. </w:t>
      </w:r>
      <w:hyperlink r:id="rId30" w:history="1">
        <w:r w:rsidRPr="005641A9">
          <w:rPr>
            <w:rStyle w:val="Hipervnculo"/>
            <w:szCs w:val="24"/>
            <w:lang w:val="en-GB"/>
          </w:rPr>
          <w:t>https://doi.org/</w:t>
        </w:r>
        <w:r w:rsidRPr="005641A9">
          <w:rPr>
            <w:rStyle w:val="Hipervnculo"/>
            <w:rFonts w:eastAsiaTheme="minorHAnsi"/>
            <w:szCs w:val="24"/>
            <w:lang w:val="en-GB" w:eastAsia="en-US"/>
          </w:rPr>
          <w:t>10.1080/10888438.2013.827687</w:t>
        </w:r>
      </w:hyperlink>
    </w:p>
    <w:p w14:paraId="28581B3A" w14:textId="77777777" w:rsidR="00FF4608" w:rsidRPr="005000BF" w:rsidRDefault="00FF4608" w:rsidP="00FF4608">
      <w:pPr>
        <w:spacing w:line="240" w:lineRule="auto"/>
        <w:ind w:left="720" w:hanging="720"/>
        <w:jc w:val="both"/>
        <w:rPr>
          <w:szCs w:val="24"/>
        </w:rPr>
      </w:pPr>
      <w:r w:rsidRPr="005641A9">
        <w:rPr>
          <w:noProof/>
          <w:szCs w:val="24"/>
          <w:lang w:val="en-GB"/>
        </w:rPr>
        <w:t xml:space="preserve">Rello, L., &amp; Bigham, J. P. (2017). </w:t>
      </w:r>
      <w:r w:rsidRPr="005641A9">
        <w:rPr>
          <w:szCs w:val="24"/>
          <w:lang w:val="en-GB"/>
        </w:rPr>
        <w:t xml:space="preserve">Good background colors for readers: A study of people with and without Dyslexia. In </w:t>
      </w:r>
      <w:r w:rsidRPr="005641A9">
        <w:rPr>
          <w:i/>
          <w:iCs/>
          <w:szCs w:val="24"/>
          <w:lang w:val="en-GB"/>
        </w:rPr>
        <w:t>Proceedings of the 19th International ACM SIGACCESS Conference on Computers and Accessibility</w:t>
      </w:r>
      <w:r w:rsidRPr="005641A9">
        <w:rPr>
          <w:szCs w:val="24"/>
          <w:lang w:val="en-GB"/>
        </w:rPr>
        <w:t xml:space="preserve">, 72-80. </w:t>
      </w:r>
      <w:hyperlink r:id="rId31" w:history="1">
        <w:r w:rsidRPr="005000BF">
          <w:rPr>
            <w:rStyle w:val="Hipervnculo"/>
            <w:szCs w:val="24"/>
          </w:rPr>
          <w:t>https://doi.org/10.1145/3132525.3132546</w:t>
        </w:r>
      </w:hyperlink>
      <w:r w:rsidRPr="005000BF">
        <w:rPr>
          <w:szCs w:val="24"/>
        </w:rPr>
        <w:t xml:space="preserve"> </w:t>
      </w:r>
    </w:p>
    <w:p w14:paraId="57194E12" w14:textId="77777777" w:rsidR="00FF4608" w:rsidRPr="005000BF" w:rsidRDefault="00FF4608" w:rsidP="00FF4608">
      <w:pPr>
        <w:spacing w:line="240" w:lineRule="auto"/>
        <w:ind w:left="720" w:hanging="720"/>
        <w:jc w:val="both"/>
        <w:rPr>
          <w:szCs w:val="24"/>
        </w:rPr>
      </w:pPr>
      <w:r w:rsidRPr="005000BF">
        <w:rPr>
          <w:szCs w:val="24"/>
        </w:rPr>
        <w:t xml:space="preserve">Ritchie, S. J., Della-Sala, S. D., &amp; </w:t>
      </w:r>
      <w:proofErr w:type="spellStart"/>
      <w:r w:rsidRPr="005000BF">
        <w:rPr>
          <w:szCs w:val="24"/>
        </w:rPr>
        <w:t>McIntosh</w:t>
      </w:r>
      <w:proofErr w:type="spellEnd"/>
      <w:r w:rsidRPr="005000BF">
        <w:rPr>
          <w:szCs w:val="24"/>
        </w:rPr>
        <w:t xml:space="preserve">, R. D. (2011). </w:t>
      </w:r>
      <w:r w:rsidRPr="005641A9">
        <w:rPr>
          <w:szCs w:val="24"/>
          <w:lang w:val="en-GB"/>
        </w:rPr>
        <w:t>Irlen-</w:t>
      </w:r>
      <w:proofErr w:type="spellStart"/>
      <w:r w:rsidRPr="005641A9">
        <w:rPr>
          <w:szCs w:val="24"/>
          <w:lang w:val="en-GB"/>
        </w:rPr>
        <w:t>colored</w:t>
      </w:r>
      <w:proofErr w:type="spellEnd"/>
      <w:r w:rsidRPr="005641A9">
        <w:rPr>
          <w:szCs w:val="24"/>
          <w:lang w:val="en-GB"/>
        </w:rPr>
        <w:t xml:space="preserve"> overlays do not alleviate reading difficulties. </w:t>
      </w:r>
      <w:proofErr w:type="spellStart"/>
      <w:r w:rsidRPr="005000BF">
        <w:rPr>
          <w:i/>
          <w:iCs/>
          <w:szCs w:val="24"/>
        </w:rPr>
        <w:t>Pediatrics</w:t>
      </w:r>
      <w:proofErr w:type="spellEnd"/>
      <w:r w:rsidRPr="005000BF">
        <w:rPr>
          <w:szCs w:val="24"/>
        </w:rPr>
        <w:t xml:space="preserve">, </w:t>
      </w:r>
      <w:r w:rsidRPr="005000BF">
        <w:rPr>
          <w:i/>
          <w:iCs/>
          <w:szCs w:val="24"/>
        </w:rPr>
        <w:t>128</w:t>
      </w:r>
      <w:r w:rsidRPr="005000BF">
        <w:rPr>
          <w:szCs w:val="24"/>
        </w:rPr>
        <w:t xml:space="preserve">(4), 932-938. </w:t>
      </w:r>
      <w:hyperlink r:id="rId32" w:history="1">
        <w:r w:rsidRPr="005000BF">
          <w:rPr>
            <w:rStyle w:val="Hipervnculo"/>
            <w:szCs w:val="24"/>
          </w:rPr>
          <w:t>https://doi.org/10.1542/peds.2011-0314</w:t>
        </w:r>
      </w:hyperlink>
    </w:p>
    <w:p w14:paraId="00D4E5C1" w14:textId="77777777" w:rsidR="00FF4608" w:rsidRPr="005641A9" w:rsidRDefault="00FF4608" w:rsidP="00FF4608">
      <w:pPr>
        <w:spacing w:line="240" w:lineRule="auto"/>
        <w:ind w:left="720" w:hanging="720"/>
        <w:jc w:val="both"/>
        <w:rPr>
          <w:szCs w:val="24"/>
          <w:lang w:val="en-GB"/>
        </w:rPr>
      </w:pPr>
      <w:r w:rsidRPr="005000BF">
        <w:rPr>
          <w:szCs w:val="24"/>
        </w:rPr>
        <w:t xml:space="preserve">Ritchie, S. J., Della-Sala, S. D., &amp; </w:t>
      </w:r>
      <w:proofErr w:type="spellStart"/>
      <w:r w:rsidRPr="005000BF">
        <w:rPr>
          <w:szCs w:val="24"/>
        </w:rPr>
        <w:t>McIntosh</w:t>
      </w:r>
      <w:proofErr w:type="spellEnd"/>
      <w:r w:rsidRPr="005000BF">
        <w:rPr>
          <w:szCs w:val="24"/>
        </w:rPr>
        <w:t xml:space="preserve">, R. D. (2012). </w:t>
      </w:r>
      <w:r w:rsidRPr="005641A9">
        <w:rPr>
          <w:szCs w:val="24"/>
          <w:lang w:val="en-GB"/>
        </w:rPr>
        <w:t xml:space="preserve">Irlen </w:t>
      </w:r>
      <w:proofErr w:type="spellStart"/>
      <w:r w:rsidRPr="005641A9">
        <w:rPr>
          <w:szCs w:val="24"/>
          <w:lang w:val="en-GB"/>
        </w:rPr>
        <w:t>colored</w:t>
      </w:r>
      <w:proofErr w:type="spellEnd"/>
      <w:r w:rsidRPr="005641A9">
        <w:rPr>
          <w:szCs w:val="24"/>
          <w:lang w:val="en-GB"/>
        </w:rPr>
        <w:t xml:space="preserve"> filters in the classroom: A 1-Year follow-up. </w:t>
      </w:r>
      <w:r w:rsidRPr="005641A9">
        <w:rPr>
          <w:i/>
          <w:iCs/>
          <w:szCs w:val="24"/>
          <w:lang w:val="en-GB"/>
        </w:rPr>
        <w:t>Mind, Brain, and Education</w:t>
      </w:r>
      <w:r w:rsidRPr="005641A9">
        <w:rPr>
          <w:szCs w:val="24"/>
          <w:lang w:val="en-GB"/>
        </w:rPr>
        <w:t>,</w:t>
      </w:r>
      <w:r w:rsidRPr="005641A9">
        <w:rPr>
          <w:i/>
          <w:iCs/>
          <w:szCs w:val="24"/>
          <w:lang w:val="en-GB"/>
        </w:rPr>
        <w:t xml:space="preserve"> 6</w:t>
      </w:r>
      <w:r w:rsidRPr="005641A9">
        <w:rPr>
          <w:szCs w:val="24"/>
          <w:lang w:val="en-GB"/>
        </w:rPr>
        <w:t xml:space="preserve">(2), 74-80. </w:t>
      </w:r>
      <w:hyperlink r:id="rId33" w:history="1">
        <w:r w:rsidRPr="005641A9">
          <w:rPr>
            <w:rStyle w:val="Hipervnculo"/>
            <w:szCs w:val="24"/>
            <w:lang w:val="en-GB"/>
          </w:rPr>
          <w:t>https://doi.org/10.1111/j.1751-228X.2012.01139.x</w:t>
        </w:r>
      </w:hyperlink>
      <w:r w:rsidRPr="005641A9">
        <w:rPr>
          <w:szCs w:val="24"/>
          <w:lang w:val="en-GB"/>
        </w:rPr>
        <w:t xml:space="preserve"> </w:t>
      </w:r>
    </w:p>
    <w:p w14:paraId="027ECF18"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Robinson, G. L., Hopkins, B. R., &amp; Davies, T. (1995). The incidence of symptoms of Scotopic Sensitivity Syndrome in secondary school populations: A preliminary study. </w:t>
      </w:r>
      <w:r w:rsidRPr="005641A9">
        <w:rPr>
          <w:i/>
          <w:iCs/>
          <w:szCs w:val="24"/>
          <w:lang w:val="en-GB"/>
        </w:rPr>
        <w:t>The Bulletin for Learning Disabilities</w:t>
      </w:r>
      <w:r w:rsidRPr="005641A9">
        <w:rPr>
          <w:szCs w:val="24"/>
          <w:lang w:val="en-GB"/>
        </w:rPr>
        <w:t xml:space="preserve">, </w:t>
      </w:r>
      <w:r w:rsidRPr="005C6A8C">
        <w:rPr>
          <w:szCs w:val="24"/>
          <w:lang w:val="en-GB"/>
        </w:rPr>
        <w:t>5,</w:t>
      </w:r>
      <w:r w:rsidRPr="005641A9">
        <w:rPr>
          <w:szCs w:val="24"/>
          <w:lang w:val="en-GB"/>
        </w:rPr>
        <w:t xml:space="preserve"> 36-56.</w:t>
      </w:r>
    </w:p>
    <w:p w14:paraId="55DB851D" w14:textId="77777777" w:rsidR="00FF4608" w:rsidRPr="005641A9" w:rsidRDefault="00FF4608" w:rsidP="00FF4608">
      <w:pPr>
        <w:spacing w:line="240" w:lineRule="auto"/>
        <w:ind w:left="720" w:hanging="720"/>
        <w:jc w:val="both"/>
        <w:rPr>
          <w:szCs w:val="24"/>
          <w:lang w:val="en-GB"/>
        </w:rPr>
      </w:pPr>
      <w:r w:rsidRPr="005641A9">
        <w:rPr>
          <w:rFonts w:eastAsia="Times New Roman"/>
          <w:szCs w:val="24"/>
          <w:lang w:val="en-GB"/>
        </w:rPr>
        <w:t xml:space="preserve">Sacoman, M. B. (2020). Irlen Syndrome: Manifestations and the Intervention Process. </w:t>
      </w:r>
      <w:r w:rsidRPr="005641A9">
        <w:rPr>
          <w:rFonts w:eastAsia="Times New Roman"/>
          <w:i/>
          <w:iCs/>
          <w:szCs w:val="24"/>
          <w:lang w:val="en-GB"/>
        </w:rPr>
        <w:t>EC Neurology</w:t>
      </w:r>
      <w:r w:rsidRPr="005641A9">
        <w:rPr>
          <w:rFonts w:eastAsia="Times New Roman"/>
          <w:szCs w:val="24"/>
          <w:lang w:val="en-GB"/>
        </w:rPr>
        <w:t xml:space="preserve">, </w:t>
      </w:r>
      <w:r w:rsidRPr="005641A9">
        <w:rPr>
          <w:rFonts w:eastAsia="Times New Roman"/>
          <w:i/>
          <w:iCs/>
          <w:szCs w:val="24"/>
          <w:lang w:val="en-GB"/>
        </w:rPr>
        <w:t>12</w:t>
      </w:r>
      <w:r w:rsidRPr="005641A9">
        <w:rPr>
          <w:rFonts w:eastAsia="Times New Roman"/>
          <w:szCs w:val="24"/>
          <w:lang w:val="en-GB"/>
        </w:rPr>
        <w:t>(2), 1-12.</w:t>
      </w:r>
    </w:p>
    <w:p w14:paraId="618E941E" w14:textId="77777777" w:rsidR="00FF4608" w:rsidRPr="005641A9" w:rsidRDefault="00FF4608" w:rsidP="00FF4608">
      <w:pPr>
        <w:spacing w:line="240" w:lineRule="auto"/>
        <w:ind w:left="708" w:hanging="708"/>
        <w:jc w:val="both"/>
        <w:rPr>
          <w:szCs w:val="24"/>
          <w:lang w:val="en-GB"/>
        </w:rPr>
      </w:pPr>
      <w:r w:rsidRPr="005641A9">
        <w:rPr>
          <w:szCs w:val="24"/>
          <w:lang w:val="en-GB"/>
        </w:rPr>
        <w:lastRenderedPageBreak/>
        <w:t xml:space="preserve">Scott, L., McWhinnie, H., Taylor, L., Stevenson, N., Irons, P., Lewis, E., &amp; Wilkins, A. (2002). Coloured overlays in schools: orthoptic and optometric findings. </w:t>
      </w:r>
      <w:r w:rsidRPr="005641A9">
        <w:rPr>
          <w:i/>
          <w:iCs/>
          <w:szCs w:val="24"/>
          <w:lang w:val="en-GB"/>
        </w:rPr>
        <w:t>Ophthalmic and Physiological Optics</w:t>
      </w:r>
      <w:r w:rsidRPr="005641A9">
        <w:rPr>
          <w:szCs w:val="24"/>
          <w:lang w:val="en-GB"/>
        </w:rPr>
        <w:t xml:space="preserve">, </w:t>
      </w:r>
      <w:r w:rsidRPr="005641A9">
        <w:rPr>
          <w:i/>
          <w:iCs/>
          <w:szCs w:val="24"/>
          <w:lang w:val="en-GB"/>
        </w:rPr>
        <w:t>22</w:t>
      </w:r>
      <w:r w:rsidRPr="005641A9">
        <w:rPr>
          <w:szCs w:val="24"/>
          <w:lang w:val="en-GB"/>
        </w:rPr>
        <w:t xml:space="preserve">(2), 156-165. </w:t>
      </w:r>
      <w:hyperlink r:id="rId34" w:history="1">
        <w:r w:rsidRPr="005641A9">
          <w:rPr>
            <w:rStyle w:val="Hipervnculo"/>
            <w:szCs w:val="24"/>
            <w:lang w:val="en-GB"/>
          </w:rPr>
          <w:t>https://doi.org/10.1046/j.1475-1313.2002.00009.x</w:t>
        </w:r>
      </w:hyperlink>
      <w:r w:rsidRPr="005641A9">
        <w:rPr>
          <w:szCs w:val="24"/>
          <w:lang w:val="en-GB"/>
        </w:rPr>
        <w:t xml:space="preserve"> </w:t>
      </w:r>
    </w:p>
    <w:p w14:paraId="35D527AE"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Seychell, O. G. (2018). Understanding Irlen Syndrome in the Classroom. </w:t>
      </w:r>
      <w:r w:rsidRPr="005641A9">
        <w:rPr>
          <w:i/>
          <w:szCs w:val="24"/>
          <w:lang w:val="en-GB"/>
        </w:rPr>
        <w:t>Symposia Melitensia</w:t>
      </w:r>
      <w:r w:rsidRPr="005641A9">
        <w:rPr>
          <w:szCs w:val="24"/>
          <w:lang w:val="en-GB"/>
        </w:rPr>
        <w:t xml:space="preserve">, </w:t>
      </w:r>
      <w:r w:rsidRPr="005641A9">
        <w:rPr>
          <w:i/>
          <w:szCs w:val="24"/>
          <w:lang w:val="en-GB"/>
        </w:rPr>
        <w:t>14</w:t>
      </w:r>
      <w:r w:rsidRPr="005641A9">
        <w:rPr>
          <w:szCs w:val="24"/>
          <w:lang w:val="en-GB"/>
        </w:rPr>
        <w:t>(14), 283-291.</w:t>
      </w:r>
    </w:p>
    <w:p w14:paraId="4D5FFD73"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Stein, J. (2001). The magnocellular theory of developmental dyslexia. </w:t>
      </w:r>
      <w:r w:rsidRPr="005641A9">
        <w:rPr>
          <w:i/>
          <w:iCs/>
          <w:szCs w:val="24"/>
          <w:lang w:val="en-GB"/>
        </w:rPr>
        <w:t>Dyslexia</w:t>
      </w:r>
      <w:r w:rsidRPr="005641A9">
        <w:rPr>
          <w:szCs w:val="24"/>
          <w:lang w:val="en-GB"/>
        </w:rPr>
        <w:t>,</w:t>
      </w:r>
      <w:r w:rsidRPr="005641A9">
        <w:rPr>
          <w:i/>
          <w:iCs/>
          <w:szCs w:val="24"/>
          <w:lang w:val="en-GB"/>
        </w:rPr>
        <w:t xml:space="preserve"> </w:t>
      </w:r>
      <w:r w:rsidRPr="005C6A8C">
        <w:rPr>
          <w:szCs w:val="24"/>
          <w:lang w:val="en-GB"/>
        </w:rPr>
        <w:t>7</w:t>
      </w:r>
      <w:r w:rsidRPr="005641A9">
        <w:rPr>
          <w:szCs w:val="24"/>
          <w:lang w:val="en-GB"/>
        </w:rPr>
        <w:t xml:space="preserve">, 12-36. </w:t>
      </w:r>
      <w:hyperlink r:id="rId35" w:history="1">
        <w:r w:rsidRPr="005641A9">
          <w:rPr>
            <w:rStyle w:val="Hipervnculo"/>
            <w:szCs w:val="24"/>
            <w:lang w:val="en-GB"/>
          </w:rPr>
          <w:t>https://doi.org/10.1002/dys.186</w:t>
        </w:r>
      </w:hyperlink>
      <w:r w:rsidRPr="005641A9">
        <w:rPr>
          <w:szCs w:val="24"/>
          <w:lang w:val="en-GB"/>
        </w:rPr>
        <w:t xml:space="preserve"> </w:t>
      </w:r>
    </w:p>
    <w:p w14:paraId="768B0A4D" w14:textId="77777777" w:rsidR="00FF4608" w:rsidRPr="005641A9" w:rsidRDefault="00FF4608" w:rsidP="00FF4608">
      <w:pPr>
        <w:spacing w:line="240" w:lineRule="auto"/>
        <w:ind w:left="720" w:hanging="720"/>
        <w:jc w:val="both"/>
        <w:rPr>
          <w:szCs w:val="24"/>
          <w:lang w:val="en-GB"/>
        </w:rPr>
      </w:pPr>
      <w:r w:rsidRPr="005641A9">
        <w:rPr>
          <w:szCs w:val="24"/>
          <w:lang w:val="en-GB"/>
        </w:rPr>
        <w:t>Stein, J. (2018). What is developmental dyslexia?</w:t>
      </w:r>
      <w:r w:rsidRPr="005641A9">
        <w:rPr>
          <w:i/>
          <w:iCs/>
          <w:szCs w:val="24"/>
          <w:lang w:val="en-GB"/>
        </w:rPr>
        <w:t xml:space="preserve"> Brain science</w:t>
      </w:r>
      <w:r w:rsidRPr="005641A9">
        <w:rPr>
          <w:szCs w:val="24"/>
          <w:lang w:val="en-GB"/>
        </w:rPr>
        <w:t xml:space="preserve">s, </w:t>
      </w:r>
      <w:r w:rsidRPr="005641A9">
        <w:rPr>
          <w:i/>
          <w:iCs/>
          <w:szCs w:val="24"/>
          <w:lang w:val="en-GB"/>
        </w:rPr>
        <w:t>8</w:t>
      </w:r>
      <w:r w:rsidRPr="005641A9">
        <w:rPr>
          <w:szCs w:val="24"/>
          <w:lang w:val="en-GB"/>
        </w:rPr>
        <w:t xml:space="preserve">(2), 26. </w:t>
      </w:r>
      <w:hyperlink r:id="rId36">
        <w:r w:rsidRPr="005641A9">
          <w:rPr>
            <w:rStyle w:val="Hipervnculo"/>
            <w:szCs w:val="24"/>
            <w:lang w:val="en-GB"/>
          </w:rPr>
          <w:t>https://doi.org/10.3390/brainsci8020026</w:t>
        </w:r>
      </w:hyperlink>
    </w:p>
    <w:p w14:paraId="4F1730E5" w14:textId="77777777" w:rsidR="00FF4608" w:rsidRPr="005000BF" w:rsidRDefault="00FF4608" w:rsidP="00FF4608">
      <w:pPr>
        <w:spacing w:line="240" w:lineRule="auto"/>
        <w:ind w:left="720" w:hanging="720"/>
        <w:jc w:val="both"/>
        <w:rPr>
          <w:szCs w:val="24"/>
        </w:rPr>
      </w:pPr>
      <w:r w:rsidRPr="005641A9">
        <w:rPr>
          <w:szCs w:val="24"/>
          <w:lang w:val="en-GB"/>
        </w:rPr>
        <w:t xml:space="preserve">Stone, R. (2003). </w:t>
      </w:r>
      <w:r w:rsidRPr="005641A9">
        <w:rPr>
          <w:i/>
          <w:iCs/>
          <w:szCs w:val="24"/>
          <w:lang w:val="en-GB"/>
        </w:rPr>
        <w:t>The light barrier: Understanding the mystery of Irlen Syndrome and Light-Based reading difficulties</w:t>
      </w:r>
      <w:r w:rsidRPr="005641A9">
        <w:rPr>
          <w:szCs w:val="24"/>
          <w:lang w:val="en-GB"/>
        </w:rPr>
        <w:t xml:space="preserve">. </w:t>
      </w:r>
      <w:r w:rsidRPr="005000BF">
        <w:rPr>
          <w:szCs w:val="24"/>
        </w:rPr>
        <w:t>Macmillan.</w:t>
      </w:r>
    </w:p>
    <w:p w14:paraId="47BBA406" w14:textId="77777777" w:rsidR="00FF4608" w:rsidRPr="005641A9" w:rsidRDefault="00FF4608" w:rsidP="00FF4608">
      <w:pPr>
        <w:spacing w:line="240" w:lineRule="auto"/>
        <w:ind w:left="720" w:hanging="720"/>
        <w:jc w:val="both"/>
        <w:rPr>
          <w:szCs w:val="24"/>
          <w:lang w:val="en-GB"/>
        </w:rPr>
      </w:pPr>
      <w:r w:rsidRPr="005000BF">
        <w:rPr>
          <w:szCs w:val="24"/>
        </w:rPr>
        <w:t xml:space="preserve">Tacuri-Reino, R. D., Bernal, M., &amp; </w:t>
      </w:r>
      <w:proofErr w:type="spellStart"/>
      <w:r w:rsidRPr="005000BF">
        <w:rPr>
          <w:szCs w:val="24"/>
        </w:rPr>
        <w:t>Buñay</w:t>
      </w:r>
      <w:proofErr w:type="spellEnd"/>
      <w:r w:rsidRPr="005000BF">
        <w:rPr>
          <w:szCs w:val="24"/>
        </w:rPr>
        <w:t xml:space="preserve">, R. (2018). La relación del logro de la lectura con la lateralidad, el movimiento ocular sacádico y el color en los niños. </w:t>
      </w:r>
      <w:proofErr w:type="spellStart"/>
      <w:r w:rsidRPr="005641A9">
        <w:rPr>
          <w:i/>
          <w:iCs/>
          <w:szCs w:val="24"/>
          <w:lang w:val="en-GB"/>
        </w:rPr>
        <w:t>Maskana</w:t>
      </w:r>
      <w:proofErr w:type="spellEnd"/>
      <w:r w:rsidRPr="005641A9">
        <w:rPr>
          <w:szCs w:val="24"/>
          <w:lang w:val="en-GB"/>
        </w:rPr>
        <w:t xml:space="preserve">, </w:t>
      </w:r>
      <w:r w:rsidRPr="005641A9">
        <w:rPr>
          <w:i/>
          <w:iCs/>
          <w:szCs w:val="24"/>
          <w:lang w:val="en-GB"/>
        </w:rPr>
        <w:t>9</w:t>
      </w:r>
      <w:r w:rsidRPr="005641A9">
        <w:rPr>
          <w:szCs w:val="24"/>
          <w:lang w:val="en-GB"/>
        </w:rPr>
        <w:t xml:space="preserve">(1), 13-19. </w:t>
      </w:r>
      <w:hyperlink r:id="rId37" w:history="1">
        <w:r w:rsidRPr="005641A9">
          <w:rPr>
            <w:rStyle w:val="Hipervnculo"/>
            <w:szCs w:val="24"/>
            <w:lang w:val="en-GB"/>
          </w:rPr>
          <w:t>https://doi.org/10.18537/mskn.09.01.02</w:t>
        </w:r>
      </w:hyperlink>
    </w:p>
    <w:p w14:paraId="04904410"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Uccula, A., Enna, M., &amp; Mulatti, C. (2014). Colors, colored overlays, and reading skills. </w:t>
      </w:r>
      <w:r w:rsidRPr="005641A9">
        <w:rPr>
          <w:i/>
          <w:iCs/>
          <w:szCs w:val="24"/>
          <w:lang w:val="en-GB"/>
        </w:rPr>
        <w:t>Frontiers in Psychology</w:t>
      </w:r>
      <w:r w:rsidRPr="005641A9">
        <w:rPr>
          <w:szCs w:val="24"/>
          <w:lang w:val="en-GB"/>
        </w:rPr>
        <w:t xml:space="preserve">, </w:t>
      </w:r>
      <w:r w:rsidRPr="005641A9">
        <w:rPr>
          <w:i/>
          <w:iCs/>
          <w:szCs w:val="24"/>
          <w:lang w:val="en-GB"/>
        </w:rPr>
        <w:t>5</w:t>
      </w:r>
      <w:r w:rsidRPr="005641A9">
        <w:rPr>
          <w:szCs w:val="24"/>
          <w:lang w:val="en-GB"/>
        </w:rPr>
        <w:t xml:space="preserve">(1). </w:t>
      </w:r>
      <w:hyperlink r:id="rId38">
        <w:r w:rsidRPr="005641A9">
          <w:rPr>
            <w:rStyle w:val="Hipervnculo"/>
            <w:szCs w:val="24"/>
            <w:lang w:val="en-GB"/>
          </w:rPr>
          <w:t>https://doi.org/10.3389/fpsyg.2014.00833</w:t>
        </w:r>
      </w:hyperlink>
    </w:p>
    <w:p w14:paraId="2D8FD109" w14:textId="77777777" w:rsidR="00FF4608" w:rsidRPr="005000BF" w:rsidRDefault="00FF4608" w:rsidP="00FF4608">
      <w:pPr>
        <w:spacing w:line="240" w:lineRule="auto"/>
        <w:ind w:left="708" w:hanging="708"/>
        <w:jc w:val="both"/>
        <w:rPr>
          <w:rFonts w:eastAsia="Segoe UI"/>
          <w:color w:val="333333"/>
          <w:szCs w:val="24"/>
        </w:rPr>
      </w:pPr>
      <w:r w:rsidRPr="005641A9">
        <w:rPr>
          <w:rFonts w:eastAsia="Segoe UI"/>
          <w:color w:val="333333"/>
          <w:szCs w:val="24"/>
          <w:lang w:val="en-GB"/>
        </w:rPr>
        <w:t xml:space="preserve">Vilhena, D. A., Guimarães, M. R., Guimarães, R. Q., &amp; Pinheiro, Â. M. V. (2021). Magnocellular visual function in developmental dyslexia: deficit in frequency-doubling perimetry and ocular motor skills. </w:t>
      </w:r>
      <w:proofErr w:type="spellStart"/>
      <w:r w:rsidRPr="005000BF">
        <w:rPr>
          <w:rFonts w:eastAsia="Segoe UI"/>
          <w:i/>
          <w:iCs/>
          <w:color w:val="333333"/>
          <w:szCs w:val="24"/>
        </w:rPr>
        <w:t>Arquivos</w:t>
      </w:r>
      <w:proofErr w:type="spellEnd"/>
      <w:r w:rsidRPr="005000BF">
        <w:rPr>
          <w:rFonts w:eastAsia="Segoe UI"/>
          <w:i/>
          <w:iCs/>
          <w:color w:val="333333"/>
          <w:szCs w:val="24"/>
        </w:rPr>
        <w:t xml:space="preserve"> Brasileiros de </w:t>
      </w:r>
      <w:proofErr w:type="spellStart"/>
      <w:r w:rsidRPr="005000BF">
        <w:rPr>
          <w:rFonts w:eastAsia="Segoe UI"/>
          <w:i/>
          <w:iCs/>
          <w:color w:val="333333"/>
          <w:szCs w:val="24"/>
        </w:rPr>
        <w:t>Oftalmologia</w:t>
      </w:r>
      <w:proofErr w:type="spellEnd"/>
      <w:r w:rsidRPr="005000BF">
        <w:rPr>
          <w:rFonts w:eastAsia="Segoe UI"/>
          <w:color w:val="333333"/>
          <w:szCs w:val="24"/>
        </w:rPr>
        <w:t xml:space="preserve">, 84, 442-448. </w:t>
      </w:r>
      <w:hyperlink r:id="rId39" w:history="1">
        <w:r w:rsidRPr="005000BF">
          <w:rPr>
            <w:rStyle w:val="Hipervnculo"/>
            <w:rFonts w:eastAsia="Segoe UI"/>
            <w:szCs w:val="24"/>
          </w:rPr>
          <w:t>https://doi.org/10.5935/0004-2749.20210069</w:t>
        </w:r>
      </w:hyperlink>
    </w:p>
    <w:p w14:paraId="01531B18" w14:textId="77777777" w:rsidR="00FF4608" w:rsidRPr="005641A9" w:rsidRDefault="00FF4608" w:rsidP="00FF4608">
      <w:pPr>
        <w:spacing w:line="240" w:lineRule="auto"/>
        <w:ind w:firstLine="0"/>
        <w:jc w:val="both"/>
        <w:rPr>
          <w:szCs w:val="24"/>
          <w:lang w:val="en-GB"/>
        </w:rPr>
      </w:pPr>
      <w:r w:rsidRPr="005000BF">
        <w:rPr>
          <w:rFonts w:eastAsia="Segoe UI"/>
          <w:color w:val="333333"/>
          <w:szCs w:val="24"/>
        </w:rPr>
        <w:t xml:space="preserve">Wilkins, A. J. (2003). </w:t>
      </w:r>
      <w:r w:rsidRPr="005641A9">
        <w:rPr>
          <w:rFonts w:eastAsia="Segoe UI"/>
          <w:i/>
          <w:iCs/>
          <w:color w:val="333333"/>
          <w:szCs w:val="24"/>
          <w:lang w:val="en-GB"/>
        </w:rPr>
        <w:t>Reading through colour</w:t>
      </w:r>
      <w:r w:rsidRPr="005641A9">
        <w:rPr>
          <w:rFonts w:eastAsia="Segoe UI"/>
          <w:color w:val="333333"/>
          <w:szCs w:val="24"/>
          <w:lang w:val="en-GB"/>
        </w:rPr>
        <w:t>. John Wiley.</w:t>
      </w:r>
    </w:p>
    <w:p w14:paraId="6C430C82" w14:textId="77777777" w:rsidR="00FF4608" w:rsidRPr="005641A9" w:rsidRDefault="00FF4608" w:rsidP="00FF4608">
      <w:pPr>
        <w:spacing w:line="240" w:lineRule="auto"/>
        <w:ind w:left="708" w:hanging="708"/>
        <w:jc w:val="both"/>
        <w:rPr>
          <w:rFonts w:eastAsia="Segoe UI"/>
          <w:color w:val="333333"/>
          <w:szCs w:val="24"/>
          <w:lang w:val="en-GB"/>
        </w:rPr>
      </w:pPr>
      <w:r w:rsidRPr="005641A9">
        <w:rPr>
          <w:rFonts w:eastAsia="Segoe UI"/>
          <w:color w:val="333333"/>
          <w:szCs w:val="24"/>
          <w:lang w:val="en-GB"/>
        </w:rPr>
        <w:t xml:space="preserve">Wilkins, A. J., Allen, P. M., Monger, L. J., &amp; Gilchrist, J. M. (2016). Visual stress and dyslexia for the practicing optometrist. </w:t>
      </w:r>
      <w:r w:rsidRPr="005641A9">
        <w:rPr>
          <w:rFonts w:eastAsia="Segoe UI"/>
          <w:i/>
          <w:iCs/>
          <w:color w:val="333333"/>
          <w:szCs w:val="24"/>
          <w:lang w:val="en-GB"/>
        </w:rPr>
        <w:t>Optometry in Practice</w:t>
      </w:r>
      <w:r w:rsidRPr="005641A9">
        <w:rPr>
          <w:rFonts w:eastAsia="Segoe UI"/>
          <w:color w:val="333333"/>
          <w:szCs w:val="24"/>
          <w:lang w:val="en-GB"/>
        </w:rPr>
        <w:t xml:space="preserve">, </w:t>
      </w:r>
      <w:r w:rsidRPr="005641A9">
        <w:rPr>
          <w:rFonts w:eastAsia="Segoe UI"/>
          <w:i/>
          <w:iCs/>
          <w:color w:val="333333"/>
          <w:szCs w:val="24"/>
          <w:lang w:val="en-GB"/>
        </w:rPr>
        <w:t>17</w:t>
      </w:r>
      <w:r w:rsidRPr="005641A9">
        <w:rPr>
          <w:rFonts w:eastAsia="Segoe UI"/>
          <w:color w:val="333333"/>
          <w:szCs w:val="24"/>
          <w:lang w:val="en-GB"/>
        </w:rPr>
        <w:t>(2), 103-112.</w:t>
      </w:r>
    </w:p>
    <w:p w14:paraId="6343B82F" w14:textId="77777777" w:rsidR="00FF4608" w:rsidRPr="005641A9" w:rsidRDefault="00FF4608" w:rsidP="00FF4608">
      <w:pPr>
        <w:spacing w:line="240" w:lineRule="auto"/>
        <w:ind w:left="708" w:hanging="708"/>
        <w:jc w:val="both"/>
        <w:rPr>
          <w:szCs w:val="24"/>
          <w:lang w:val="en-GB"/>
        </w:rPr>
      </w:pPr>
      <w:r w:rsidRPr="005641A9">
        <w:rPr>
          <w:szCs w:val="24"/>
          <w:lang w:val="en-GB"/>
        </w:rPr>
        <w:t xml:space="preserve">Wilkins, A. J., Lewis, E., Smith, F., Rowland, E., &amp; Tweedie, W. (2001). Coloured overlays and their benefit for reading. </w:t>
      </w:r>
      <w:r w:rsidRPr="005641A9">
        <w:rPr>
          <w:i/>
          <w:iCs/>
          <w:szCs w:val="24"/>
          <w:lang w:val="en-GB"/>
        </w:rPr>
        <w:t>Journal of Research in Reading</w:t>
      </w:r>
      <w:r w:rsidRPr="005641A9">
        <w:rPr>
          <w:szCs w:val="24"/>
          <w:lang w:val="en-GB"/>
        </w:rPr>
        <w:t xml:space="preserve">, </w:t>
      </w:r>
      <w:r w:rsidRPr="005641A9">
        <w:rPr>
          <w:i/>
          <w:iCs/>
          <w:szCs w:val="24"/>
          <w:lang w:val="en-GB"/>
        </w:rPr>
        <w:t>24</w:t>
      </w:r>
      <w:r w:rsidRPr="005641A9">
        <w:rPr>
          <w:szCs w:val="24"/>
          <w:lang w:val="en-GB"/>
        </w:rPr>
        <w:t xml:space="preserve">(1), 41-64. </w:t>
      </w:r>
      <w:hyperlink r:id="rId40" w:history="1">
        <w:r w:rsidRPr="005641A9">
          <w:rPr>
            <w:rStyle w:val="Hipervnculo"/>
            <w:szCs w:val="24"/>
            <w:lang w:val="en-GB"/>
          </w:rPr>
          <w:t>https://doi.org/10.1111/1467-9817.00132</w:t>
        </w:r>
      </w:hyperlink>
      <w:r w:rsidRPr="005641A9">
        <w:rPr>
          <w:szCs w:val="24"/>
          <w:lang w:val="en-GB"/>
        </w:rPr>
        <w:t xml:space="preserve"> </w:t>
      </w:r>
    </w:p>
    <w:p w14:paraId="37FDCA1A" w14:textId="77777777" w:rsidR="00FF4608" w:rsidRPr="005641A9" w:rsidRDefault="00FF4608" w:rsidP="00FF4608">
      <w:pPr>
        <w:spacing w:line="240" w:lineRule="auto"/>
        <w:ind w:left="708" w:hanging="708"/>
        <w:jc w:val="both"/>
        <w:rPr>
          <w:szCs w:val="24"/>
          <w:lang w:val="en-GB"/>
        </w:rPr>
      </w:pPr>
      <w:r w:rsidRPr="005641A9">
        <w:rPr>
          <w:rFonts w:eastAsia="Segoe UI"/>
          <w:szCs w:val="24"/>
          <w:lang w:val="en-GB"/>
        </w:rPr>
        <w:t xml:space="preserve">Wilkins, A. J., Nimmo-Smith, I. A. N., Tait, A., Mcmanus, C., Della-Sala, S. D., Tilley, A., Arnold, K., Barrie, M., &amp; Scott, S. (1984). A neurological basis for visual discomfort. </w:t>
      </w:r>
      <w:r w:rsidRPr="005641A9">
        <w:rPr>
          <w:rFonts w:eastAsia="Segoe UI"/>
          <w:i/>
          <w:iCs/>
          <w:szCs w:val="24"/>
          <w:lang w:val="en-GB"/>
        </w:rPr>
        <w:t>Brain</w:t>
      </w:r>
      <w:r w:rsidRPr="005641A9">
        <w:rPr>
          <w:rFonts w:eastAsia="Segoe UI"/>
          <w:szCs w:val="24"/>
          <w:lang w:val="en-GB"/>
        </w:rPr>
        <w:t xml:space="preserve">, </w:t>
      </w:r>
      <w:r w:rsidRPr="005641A9">
        <w:rPr>
          <w:rFonts w:eastAsia="Segoe UI"/>
          <w:i/>
          <w:iCs/>
          <w:szCs w:val="24"/>
          <w:lang w:val="en-GB"/>
        </w:rPr>
        <w:t>107</w:t>
      </w:r>
      <w:r w:rsidRPr="005641A9">
        <w:rPr>
          <w:rFonts w:eastAsia="Segoe UI"/>
          <w:szCs w:val="24"/>
          <w:lang w:val="en-GB"/>
        </w:rPr>
        <w:t xml:space="preserve">(4), 989-1017. </w:t>
      </w:r>
      <w:hyperlink r:id="rId41" w:history="1">
        <w:r w:rsidRPr="005641A9">
          <w:rPr>
            <w:rStyle w:val="Hipervnculo"/>
            <w:rFonts w:eastAsia="Segoe UI"/>
            <w:szCs w:val="24"/>
            <w:lang w:val="en-GB"/>
          </w:rPr>
          <w:t>https://doi.org/10.1093/brain/107.4.989</w:t>
        </w:r>
      </w:hyperlink>
      <w:r w:rsidRPr="005641A9">
        <w:rPr>
          <w:rFonts w:eastAsia="Segoe UI"/>
          <w:szCs w:val="24"/>
          <w:lang w:val="en-GB"/>
        </w:rPr>
        <w:t xml:space="preserve"> </w:t>
      </w:r>
    </w:p>
    <w:p w14:paraId="1E3F17EC" w14:textId="77777777" w:rsidR="00FF4608" w:rsidRPr="005641A9" w:rsidRDefault="00FF4608" w:rsidP="00FF4608">
      <w:pPr>
        <w:spacing w:line="240" w:lineRule="auto"/>
        <w:ind w:left="708" w:hanging="708"/>
        <w:jc w:val="both"/>
        <w:rPr>
          <w:rFonts w:eastAsia="Segoe UI"/>
          <w:color w:val="333333"/>
          <w:szCs w:val="24"/>
          <w:lang w:val="en-GB"/>
        </w:rPr>
      </w:pPr>
      <w:r w:rsidRPr="005641A9">
        <w:rPr>
          <w:rFonts w:eastAsia="Segoe UI"/>
          <w:szCs w:val="24"/>
          <w:lang w:val="en-GB"/>
        </w:rPr>
        <w:t xml:space="preserve">Wilkins, A. J., Sihra, N., &amp; Myers, A. (2004) Increasing reading speed by using colors: Issues concerning reliability and specificity, and their theoretical and practical implications. </w:t>
      </w:r>
      <w:r w:rsidRPr="005641A9">
        <w:rPr>
          <w:rFonts w:eastAsia="Segoe UI"/>
          <w:i/>
          <w:iCs/>
          <w:szCs w:val="24"/>
          <w:lang w:val="en-GB"/>
        </w:rPr>
        <w:t>Perception</w:t>
      </w:r>
      <w:r w:rsidRPr="005641A9">
        <w:rPr>
          <w:rFonts w:eastAsia="Segoe UI"/>
          <w:szCs w:val="24"/>
          <w:lang w:val="en-GB"/>
        </w:rPr>
        <w:t xml:space="preserve">, </w:t>
      </w:r>
      <w:r w:rsidRPr="005641A9">
        <w:rPr>
          <w:rFonts w:eastAsia="Segoe UI"/>
          <w:i/>
          <w:iCs/>
          <w:szCs w:val="24"/>
          <w:lang w:val="en-GB"/>
        </w:rPr>
        <w:t>34</w:t>
      </w:r>
      <w:r w:rsidRPr="005641A9">
        <w:rPr>
          <w:rFonts w:eastAsia="Segoe UI"/>
          <w:szCs w:val="24"/>
          <w:lang w:val="en-GB"/>
        </w:rPr>
        <w:t>(1),109-120</w:t>
      </w:r>
      <w:r w:rsidRPr="005641A9">
        <w:rPr>
          <w:rFonts w:eastAsia="Segoe UI"/>
          <w:color w:val="333333"/>
          <w:szCs w:val="24"/>
          <w:lang w:val="en-GB"/>
        </w:rPr>
        <w:t xml:space="preserve">. </w:t>
      </w:r>
      <w:hyperlink r:id="rId42" w:history="1">
        <w:r w:rsidRPr="005641A9">
          <w:rPr>
            <w:rStyle w:val="Hipervnculo"/>
            <w:rFonts w:eastAsia="Segoe UI"/>
            <w:szCs w:val="24"/>
            <w:lang w:val="en-GB"/>
          </w:rPr>
          <w:t>https://doi.org/10.1068/p5045</w:t>
        </w:r>
      </w:hyperlink>
      <w:r w:rsidRPr="005641A9">
        <w:rPr>
          <w:rFonts w:eastAsia="Segoe UI"/>
          <w:color w:val="333333"/>
          <w:szCs w:val="24"/>
          <w:lang w:val="en-GB"/>
        </w:rPr>
        <w:t xml:space="preserve"> </w:t>
      </w:r>
    </w:p>
    <w:p w14:paraId="75856F5B" w14:textId="77777777" w:rsidR="00FF4608" w:rsidRPr="005641A9" w:rsidRDefault="00FF4608" w:rsidP="00FF4608">
      <w:pPr>
        <w:spacing w:line="240" w:lineRule="auto"/>
        <w:ind w:left="720" w:hanging="720"/>
        <w:jc w:val="both"/>
        <w:rPr>
          <w:szCs w:val="24"/>
          <w:lang w:val="en-GB"/>
        </w:rPr>
      </w:pPr>
      <w:r w:rsidRPr="005641A9">
        <w:rPr>
          <w:szCs w:val="24"/>
          <w:lang w:val="en-GB"/>
        </w:rPr>
        <w:t xml:space="preserve">World Medical Association (2008, October). </w:t>
      </w:r>
      <w:r w:rsidRPr="005641A9">
        <w:rPr>
          <w:i/>
          <w:iCs/>
          <w:szCs w:val="24"/>
          <w:lang w:val="en-GB"/>
        </w:rPr>
        <w:t>7th Revision of the Declaration of Helsinki: Ethical principles for medical research involving human subjects</w:t>
      </w:r>
      <w:r w:rsidRPr="005641A9">
        <w:rPr>
          <w:szCs w:val="24"/>
          <w:lang w:val="en-GB"/>
        </w:rPr>
        <w:t xml:space="preserve">. 59th World Medical Association (WMA) General Assembly, Seoul, South Korea. </w:t>
      </w:r>
      <w:hyperlink r:id="rId43" w:history="1">
        <w:r w:rsidRPr="005641A9">
          <w:rPr>
            <w:rStyle w:val="Hipervnculo"/>
            <w:szCs w:val="24"/>
            <w:lang w:val="en-GB"/>
          </w:rPr>
          <w:t xml:space="preserve">http://www.wma.net/en/30publications/10poli </w:t>
        </w:r>
        <w:proofErr w:type="spellStart"/>
        <w:r w:rsidRPr="005641A9">
          <w:rPr>
            <w:rStyle w:val="Hipervnculo"/>
            <w:szCs w:val="24"/>
            <w:lang w:val="en-GB"/>
          </w:rPr>
          <w:t>cies</w:t>
        </w:r>
        <w:proofErr w:type="spellEnd"/>
        <w:r w:rsidRPr="005641A9">
          <w:rPr>
            <w:rStyle w:val="Hipervnculo"/>
            <w:szCs w:val="24"/>
            <w:lang w:val="en-GB"/>
          </w:rPr>
          <w:t>/b3/17c.pdf</w:t>
        </w:r>
      </w:hyperlink>
    </w:p>
    <w:p w14:paraId="1B0DDFDC" w14:textId="77777777" w:rsidR="00FF4608" w:rsidRPr="005641A9" w:rsidRDefault="00FF4608" w:rsidP="00FF4608">
      <w:pPr>
        <w:spacing w:line="240" w:lineRule="auto"/>
        <w:ind w:left="708" w:hanging="708"/>
        <w:jc w:val="both"/>
        <w:rPr>
          <w:rFonts w:eastAsia="Segoe UI"/>
          <w:color w:val="333333"/>
          <w:szCs w:val="24"/>
          <w:lang w:val="en-GB"/>
        </w:rPr>
      </w:pPr>
    </w:p>
    <w:p w14:paraId="54F2A01B" w14:textId="77777777" w:rsidR="00FF4608" w:rsidRPr="005641A9" w:rsidRDefault="00FF4608" w:rsidP="002E1E22">
      <w:pPr>
        <w:spacing w:line="240" w:lineRule="auto"/>
        <w:ind w:firstLine="0"/>
        <w:jc w:val="both"/>
        <w:rPr>
          <w:noProof/>
          <w:szCs w:val="24"/>
          <w:lang w:val="en-GB"/>
        </w:rPr>
      </w:pPr>
    </w:p>
    <w:sectPr w:rsidR="00FF4608" w:rsidRPr="005641A9" w:rsidSect="00EC0429">
      <w:footerReference w:type="even" r:id="rId44"/>
      <w:footerReference w:type="default" r:id="rId45"/>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E9D8" w14:textId="77777777" w:rsidR="00376885" w:rsidRDefault="00376885">
      <w:pPr>
        <w:spacing w:line="240" w:lineRule="auto"/>
      </w:pPr>
      <w:r>
        <w:separator/>
      </w:r>
    </w:p>
  </w:endnote>
  <w:endnote w:type="continuationSeparator" w:id="0">
    <w:p w14:paraId="46866A97" w14:textId="77777777" w:rsidR="00376885" w:rsidRDefault="00376885">
      <w:pPr>
        <w:spacing w:line="240" w:lineRule="auto"/>
      </w:pPr>
      <w:r>
        <w:continuationSeparator/>
      </w:r>
    </w:p>
  </w:endnote>
  <w:endnote w:type="continuationNotice" w:id="1">
    <w:p w14:paraId="6C960E79" w14:textId="77777777" w:rsidR="00376885" w:rsidRDefault="003768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CBED" w14:textId="77777777" w:rsidR="004B3CCD" w:rsidRDefault="001C1939" w:rsidP="00B721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0321914"/>
      <w:docPartObj>
        <w:docPartGallery w:val="Page Numbers (Bottom of Page)"/>
        <w:docPartUnique/>
      </w:docPartObj>
    </w:sdtPr>
    <w:sdtContent>
      <w:p w14:paraId="413F880B" w14:textId="484D7B75" w:rsidR="004B3CCD" w:rsidRDefault="001C1939" w:rsidP="00B721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40C0A">
          <w:rPr>
            <w:rStyle w:val="Nmerodepgina"/>
            <w:noProof/>
          </w:rPr>
          <w:t>2</w:t>
        </w:r>
        <w:r>
          <w:rPr>
            <w:rStyle w:val="Nmerodepgina"/>
          </w:rPr>
          <w:fldChar w:fldCharType="end"/>
        </w:r>
      </w:p>
    </w:sdtContent>
  </w:sdt>
  <w:p w14:paraId="3D52EE48" w14:textId="77777777" w:rsidR="004B3CCD" w:rsidRDefault="004B3CCD" w:rsidP="004B3CC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52AD" w14:textId="77777777" w:rsidR="00376885" w:rsidRDefault="00376885">
      <w:pPr>
        <w:spacing w:line="240" w:lineRule="auto"/>
      </w:pPr>
      <w:r>
        <w:separator/>
      </w:r>
    </w:p>
  </w:footnote>
  <w:footnote w:type="continuationSeparator" w:id="0">
    <w:p w14:paraId="794D658F" w14:textId="77777777" w:rsidR="00376885" w:rsidRDefault="00376885">
      <w:pPr>
        <w:spacing w:line="240" w:lineRule="auto"/>
      </w:pPr>
      <w:r>
        <w:continuationSeparator/>
      </w:r>
    </w:p>
  </w:footnote>
  <w:footnote w:type="continuationNotice" w:id="1">
    <w:p w14:paraId="4E6376BE" w14:textId="77777777" w:rsidR="00376885" w:rsidRDefault="0037688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B6B"/>
    <w:multiLevelType w:val="hybridMultilevel"/>
    <w:tmpl w:val="D3DE6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A8956CE"/>
    <w:multiLevelType w:val="hybridMultilevel"/>
    <w:tmpl w:val="FFFFFFFF"/>
    <w:lvl w:ilvl="0" w:tplc="ECE0CE5E">
      <w:start w:val="1"/>
      <w:numFmt w:val="bullet"/>
      <w:lvlText w:val=""/>
      <w:lvlJc w:val="left"/>
      <w:pPr>
        <w:ind w:left="720" w:hanging="360"/>
      </w:pPr>
      <w:rPr>
        <w:rFonts w:ascii="Symbol" w:hAnsi="Symbol" w:hint="default"/>
      </w:rPr>
    </w:lvl>
    <w:lvl w:ilvl="1" w:tplc="AA76EC9C">
      <w:start w:val="1"/>
      <w:numFmt w:val="bullet"/>
      <w:lvlText w:val="o"/>
      <w:lvlJc w:val="left"/>
      <w:pPr>
        <w:ind w:left="1440" w:hanging="360"/>
      </w:pPr>
      <w:rPr>
        <w:rFonts w:ascii="Courier New" w:hAnsi="Courier New" w:hint="default"/>
      </w:rPr>
    </w:lvl>
    <w:lvl w:ilvl="2" w:tplc="CB0C221E">
      <w:start w:val="1"/>
      <w:numFmt w:val="bullet"/>
      <w:lvlText w:val=""/>
      <w:lvlJc w:val="left"/>
      <w:pPr>
        <w:ind w:left="2160" w:hanging="360"/>
      </w:pPr>
      <w:rPr>
        <w:rFonts w:ascii="Wingdings" w:hAnsi="Wingdings" w:hint="default"/>
      </w:rPr>
    </w:lvl>
    <w:lvl w:ilvl="3" w:tplc="47D651C4">
      <w:start w:val="1"/>
      <w:numFmt w:val="bullet"/>
      <w:lvlText w:val=""/>
      <w:lvlJc w:val="left"/>
      <w:pPr>
        <w:ind w:left="2880" w:hanging="360"/>
      </w:pPr>
      <w:rPr>
        <w:rFonts w:ascii="Symbol" w:hAnsi="Symbol" w:hint="default"/>
      </w:rPr>
    </w:lvl>
    <w:lvl w:ilvl="4" w:tplc="3880E138">
      <w:start w:val="1"/>
      <w:numFmt w:val="bullet"/>
      <w:lvlText w:val="o"/>
      <w:lvlJc w:val="left"/>
      <w:pPr>
        <w:ind w:left="3600" w:hanging="360"/>
      </w:pPr>
      <w:rPr>
        <w:rFonts w:ascii="Courier New" w:hAnsi="Courier New" w:hint="default"/>
      </w:rPr>
    </w:lvl>
    <w:lvl w:ilvl="5" w:tplc="C57E1410">
      <w:start w:val="1"/>
      <w:numFmt w:val="bullet"/>
      <w:lvlText w:val=""/>
      <w:lvlJc w:val="left"/>
      <w:pPr>
        <w:ind w:left="4320" w:hanging="360"/>
      </w:pPr>
      <w:rPr>
        <w:rFonts w:ascii="Wingdings" w:hAnsi="Wingdings" w:hint="default"/>
      </w:rPr>
    </w:lvl>
    <w:lvl w:ilvl="6" w:tplc="02FCE6E6">
      <w:start w:val="1"/>
      <w:numFmt w:val="bullet"/>
      <w:lvlText w:val=""/>
      <w:lvlJc w:val="left"/>
      <w:pPr>
        <w:ind w:left="5040" w:hanging="360"/>
      </w:pPr>
      <w:rPr>
        <w:rFonts w:ascii="Symbol" w:hAnsi="Symbol" w:hint="default"/>
      </w:rPr>
    </w:lvl>
    <w:lvl w:ilvl="7" w:tplc="B5C61CBC">
      <w:start w:val="1"/>
      <w:numFmt w:val="bullet"/>
      <w:lvlText w:val="o"/>
      <w:lvlJc w:val="left"/>
      <w:pPr>
        <w:ind w:left="5760" w:hanging="360"/>
      </w:pPr>
      <w:rPr>
        <w:rFonts w:ascii="Courier New" w:hAnsi="Courier New" w:hint="default"/>
      </w:rPr>
    </w:lvl>
    <w:lvl w:ilvl="8" w:tplc="C8E0E1F4">
      <w:start w:val="1"/>
      <w:numFmt w:val="bullet"/>
      <w:lvlText w:val=""/>
      <w:lvlJc w:val="left"/>
      <w:pPr>
        <w:ind w:left="6480" w:hanging="360"/>
      </w:pPr>
      <w:rPr>
        <w:rFonts w:ascii="Wingdings" w:hAnsi="Wingdings" w:hint="default"/>
      </w:rPr>
    </w:lvl>
  </w:abstractNum>
  <w:abstractNum w:abstractNumId="2" w15:restartNumberingAfterBreak="0">
    <w:nsid w:val="197B394B"/>
    <w:multiLevelType w:val="hybridMultilevel"/>
    <w:tmpl w:val="646C08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D7F49EA"/>
    <w:multiLevelType w:val="hybridMultilevel"/>
    <w:tmpl w:val="0B1ECE7A"/>
    <w:lvl w:ilvl="0" w:tplc="919A285E">
      <w:start w:val="1"/>
      <w:numFmt w:val="bullet"/>
      <w:lvlText w:val="−"/>
      <w:lvlJc w:val="left"/>
      <w:pPr>
        <w:ind w:left="1068" w:hanging="360"/>
      </w:pPr>
      <w:rPr>
        <w:rFonts w:ascii="Times New Roman" w:hAnsi="Times New Roman" w:cs="Times New Roman" w:hint="default"/>
      </w:rPr>
    </w:lvl>
    <w:lvl w:ilvl="1" w:tplc="FFFFFFFF">
      <w:start w:val="1"/>
      <w:numFmt w:val="bullet"/>
      <w:lvlText w:val="−"/>
      <w:lvlJc w:val="left"/>
      <w:pPr>
        <w:ind w:left="1788" w:hanging="360"/>
      </w:pPr>
      <w:rPr>
        <w:rFonts w:ascii="Times New Roman" w:hAnsi="Times New Roman" w:cs="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3A0768E4"/>
    <w:multiLevelType w:val="hybridMultilevel"/>
    <w:tmpl w:val="FAA0866C"/>
    <w:lvl w:ilvl="0" w:tplc="0C0A000F">
      <w:start w:val="1"/>
      <w:numFmt w:val="decimal"/>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5" w15:restartNumberingAfterBreak="0">
    <w:nsid w:val="45CA22FD"/>
    <w:multiLevelType w:val="hybridMultilevel"/>
    <w:tmpl w:val="16AE8B8E"/>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6" w15:restartNumberingAfterBreak="0">
    <w:nsid w:val="49B6137A"/>
    <w:multiLevelType w:val="hybridMultilevel"/>
    <w:tmpl w:val="2E6C5DC2"/>
    <w:lvl w:ilvl="0" w:tplc="FFFFFFFF">
      <w:start w:val="1"/>
      <w:numFmt w:val="lowerLetter"/>
      <w:lvlText w:val="%1)"/>
      <w:lvlJc w:val="left"/>
      <w:pPr>
        <w:ind w:left="1440" w:hanging="360"/>
      </w:pPr>
      <w:rPr>
        <w:rFonts w:hint="default"/>
      </w:rPr>
    </w:lvl>
    <w:lvl w:ilvl="1" w:tplc="919A285E">
      <w:start w:val="1"/>
      <w:numFmt w:val="bullet"/>
      <w:lvlText w:val="−"/>
      <w:lvlJc w:val="left"/>
      <w:pPr>
        <w:ind w:left="1068" w:hanging="360"/>
      </w:pPr>
      <w:rPr>
        <w:rFonts w:ascii="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0936667"/>
    <w:multiLevelType w:val="hybridMultilevel"/>
    <w:tmpl w:val="70B8E598"/>
    <w:lvl w:ilvl="0" w:tplc="A41C4C90">
      <w:start w:val="1"/>
      <w:numFmt w:val="bullet"/>
      <w:lvlText w:val=""/>
      <w:lvlJc w:val="left"/>
      <w:pPr>
        <w:ind w:left="720" w:hanging="360"/>
      </w:pPr>
      <w:rPr>
        <w:rFonts w:ascii="Symbol" w:hAnsi="Symbol" w:hint="default"/>
      </w:rPr>
    </w:lvl>
    <w:lvl w:ilvl="1" w:tplc="9072D428">
      <w:start w:val="1"/>
      <w:numFmt w:val="bullet"/>
      <w:lvlText w:val="o"/>
      <w:lvlJc w:val="left"/>
      <w:pPr>
        <w:ind w:left="1440" w:hanging="360"/>
      </w:pPr>
      <w:rPr>
        <w:rFonts w:ascii="Courier New" w:hAnsi="Courier New" w:hint="default"/>
      </w:rPr>
    </w:lvl>
    <w:lvl w:ilvl="2" w:tplc="BDA4C1AC">
      <w:start w:val="1"/>
      <w:numFmt w:val="bullet"/>
      <w:lvlText w:val=""/>
      <w:lvlJc w:val="left"/>
      <w:pPr>
        <w:ind w:left="2160" w:hanging="360"/>
      </w:pPr>
      <w:rPr>
        <w:rFonts w:ascii="Wingdings" w:hAnsi="Wingdings" w:hint="default"/>
      </w:rPr>
    </w:lvl>
    <w:lvl w:ilvl="3" w:tplc="545220E2">
      <w:start w:val="1"/>
      <w:numFmt w:val="bullet"/>
      <w:lvlText w:val=""/>
      <w:lvlJc w:val="left"/>
      <w:pPr>
        <w:ind w:left="2880" w:hanging="360"/>
      </w:pPr>
      <w:rPr>
        <w:rFonts w:ascii="Symbol" w:hAnsi="Symbol" w:hint="default"/>
      </w:rPr>
    </w:lvl>
    <w:lvl w:ilvl="4" w:tplc="E8327AD0">
      <w:start w:val="1"/>
      <w:numFmt w:val="bullet"/>
      <w:lvlText w:val="o"/>
      <w:lvlJc w:val="left"/>
      <w:pPr>
        <w:ind w:left="3600" w:hanging="360"/>
      </w:pPr>
      <w:rPr>
        <w:rFonts w:ascii="Courier New" w:hAnsi="Courier New" w:hint="default"/>
      </w:rPr>
    </w:lvl>
    <w:lvl w:ilvl="5" w:tplc="EE84F9B6">
      <w:start w:val="1"/>
      <w:numFmt w:val="bullet"/>
      <w:lvlText w:val=""/>
      <w:lvlJc w:val="left"/>
      <w:pPr>
        <w:ind w:left="4320" w:hanging="360"/>
      </w:pPr>
      <w:rPr>
        <w:rFonts w:ascii="Wingdings" w:hAnsi="Wingdings" w:hint="default"/>
      </w:rPr>
    </w:lvl>
    <w:lvl w:ilvl="6" w:tplc="725CB6A6">
      <w:start w:val="1"/>
      <w:numFmt w:val="bullet"/>
      <w:lvlText w:val=""/>
      <w:lvlJc w:val="left"/>
      <w:pPr>
        <w:ind w:left="5040" w:hanging="360"/>
      </w:pPr>
      <w:rPr>
        <w:rFonts w:ascii="Symbol" w:hAnsi="Symbol" w:hint="default"/>
      </w:rPr>
    </w:lvl>
    <w:lvl w:ilvl="7" w:tplc="B4F01360">
      <w:start w:val="1"/>
      <w:numFmt w:val="bullet"/>
      <w:lvlText w:val="o"/>
      <w:lvlJc w:val="left"/>
      <w:pPr>
        <w:ind w:left="5760" w:hanging="360"/>
      </w:pPr>
      <w:rPr>
        <w:rFonts w:ascii="Courier New" w:hAnsi="Courier New" w:hint="default"/>
      </w:rPr>
    </w:lvl>
    <w:lvl w:ilvl="8" w:tplc="921E2AEA">
      <w:start w:val="1"/>
      <w:numFmt w:val="bullet"/>
      <w:lvlText w:val=""/>
      <w:lvlJc w:val="left"/>
      <w:pPr>
        <w:ind w:left="6480" w:hanging="360"/>
      </w:pPr>
      <w:rPr>
        <w:rFonts w:ascii="Wingdings" w:hAnsi="Wingdings" w:hint="default"/>
      </w:rPr>
    </w:lvl>
  </w:abstractNum>
  <w:abstractNum w:abstractNumId="8" w15:restartNumberingAfterBreak="0">
    <w:nsid w:val="52B376DF"/>
    <w:multiLevelType w:val="hybridMultilevel"/>
    <w:tmpl w:val="01BA82C8"/>
    <w:lvl w:ilvl="0" w:tplc="FFFFFFFF">
      <w:start w:val="1"/>
      <w:numFmt w:val="lowerLetter"/>
      <w:lvlText w:val="%1)"/>
      <w:lvlJc w:val="left"/>
      <w:pPr>
        <w:ind w:left="1440" w:hanging="360"/>
      </w:pPr>
      <w:rPr>
        <w:rFonts w:hint="default"/>
      </w:rPr>
    </w:lvl>
    <w:lvl w:ilvl="1" w:tplc="919A285E">
      <w:start w:val="1"/>
      <w:numFmt w:val="bullet"/>
      <w:lvlText w:val="−"/>
      <w:lvlJc w:val="left"/>
      <w:pPr>
        <w:ind w:left="2160" w:hanging="360"/>
      </w:pPr>
      <w:rPr>
        <w:rFonts w:ascii="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82D01AE"/>
    <w:multiLevelType w:val="hybridMultilevel"/>
    <w:tmpl w:val="54F4A372"/>
    <w:lvl w:ilvl="0" w:tplc="D4204C00">
      <w:start w:val="1"/>
      <w:numFmt w:val="bullet"/>
      <w:lvlText w:val=""/>
      <w:lvlJc w:val="left"/>
      <w:pPr>
        <w:ind w:left="720" w:hanging="360"/>
      </w:pPr>
      <w:rPr>
        <w:rFonts w:ascii="Symbol" w:hAnsi="Symbol" w:hint="default"/>
      </w:rPr>
    </w:lvl>
    <w:lvl w:ilvl="1" w:tplc="FB22DC56">
      <w:start w:val="1"/>
      <w:numFmt w:val="bullet"/>
      <w:lvlText w:val="o"/>
      <w:lvlJc w:val="left"/>
      <w:pPr>
        <w:ind w:left="1440" w:hanging="360"/>
      </w:pPr>
      <w:rPr>
        <w:rFonts w:ascii="Courier New" w:hAnsi="Courier New" w:hint="default"/>
      </w:rPr>
    </w:lvl>
    <w:lvl w:ilvl="2" w:tplc="7C52F35C">
      <w:start w:val="1"/>
      <w:numFmt w:val="bullet"/>
      <w:lvlText w:val=""/>
      <w:lvlJc w:val="left"/>
      <w:pPr>
        <w:ind w:left="2160" w:hanging="360"/>
      </w:pPr>
      <w:rPr>
        <w:rFonts w:ascii="Wingdings" w:hAnsi="Wingdings" w:hint="default"/>
      </w:rPr>
    </w:lvl>
    <w:lvl w:ilvl="3" w:tplc="C17C22D2">
      <w:start w:val="1"/>
      <w:numFmt w:val="bullet"/>
      <w:lvlText w:val=""/>
      <w:lvlJc w:val="left"/>
      <w:pPr>
        <w:ind w:left="2880" w:hanging="360"/>
      </w:pPr>
      <w:rPr>
        <w:rFonts w:ascii="Symbol" w:hAnsi="Symbol" w:hint="default"/>
      </w:rPr>
    </w:lvl>
    <w:lvl w:ilvl="4" w:tplc="2D14DFE2">
      <w:start w:val="1"/>
      <w:numFmt w:val="bullet"/>
      <w:lvlText w:val="o"/>
      <w:lvlJc w:val="left"/>
      <w:pPr>
        <w:ind w:left="3600" w:hanging="360"/>
      </w:pPr>
      <w:rPr>
        <w:rFonts w:ascii="Courier New" w:hAnsi="Courier New" w:hint="default"/>
      </w:rPr>
    </w:lvl>
    <w:lvl w:ilvl="5" w:tplc="9440DF30">
      <w:start w:val="1"/>
      <w:numFmt w:val="bullet"/>
      <w:lvlText w:val=""/>
      <w:lvlJc w:val="left"/>
      <w:pPr>
        <w:ind w:left="4320" w:hanging="360"/>
      </w:pPr>
      <w:rPr>
        <w:rFonts w:ascii="Wingdings" w:hAnsi="Wingdings" w:hint="default"/>
      </w:rPr>
    </w:lvl>
    <w:lvl w:ilvl="6" w:tplc="DA3819DE">
      <w:start w:val="1"/>
      <w:numFmt w:val="bullet"/>
      <w:lvlText w:val=""/>
      <w:lvlJc w:val="left"/>
      <w:pPr>
        <w:ind w:left="5040" w:hanging="360"/>
      </w:pPr>
      <w:rPr>
        <w:rFonts w:ascii="Symbol" w:hAnsi="Symbol" w:hint="default"/>
      </w:rPr>
    </w:lvl>
    <w:lvl w:ilvl="7" w:tplc="ADF4DEA6">
      <w:start w:val="1"/>
      <w:numFmt w:val="bullet"/>
      <w:lvlText w:val="o"/>
      <w:lvlJc w:val="left"/>
      <w:pPr>
        <w:ind w:left="5760" w:hanging="360"/>
      </w:pPr>
      <w:rPr>
        <w:rFonts w:ascii="Courier New" w:hAnsi="Courier New" w:hint="default"/>
      </w:rPr>
    </w:lvl>
    <w:lvl w:ilvl="8" w:tplc="2F763FB8">
      <w:start w:val="1"/>
      <w:numFmt w:val="bullet"/>
      <w:lvlText w:val=""/>
      <w:lvlJc w:val="left"/>
      <w:pPr>
        <w:ind w:left="6480" w:hanging="360"/>
      </w:pPr>
      <w:rPr>
        <w:rFonts w:ascii="Wingdings" w:hAnsi="Wingdings" w:hint="default"/>
      </w:rPr>
    </w:lvl>
  </w:abstractNum>
  <w:abstractNum w:abstractNumId="10" w15:restartNumberingAfterBreak="0">
    <w:nsid w:val="5BC42DE0"/>
    <w:multiLevelType w:val="hybridMultilevel"/>
    <w:tmpl w:val="EFD2E3A8"/>
    <w:lvl w:ilvl="0" w:tplc="0C0A0017">
      <w:start w:val="1"/>
      <w:numFmt w:val="lowerLetter"/>
      <w:lvlText w:val="%1)"/>
      <w:lvlJc w:val="left"/>
      <w:pPr>
        <w:ind w:left="1440" w:hanging="360"/>
      </w:pPr>
      <w:rPr>
        <w:rFonts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5E110278"/>
    <w:multiLevelType w:val="hybridMultilevel"/>
    <w:tmpl w:val="38C2F5A0"/>
    <w:lvl w:ilvl="0" w:tplc="FFFFFFFF">
      <w:start w:val="1"/>
      <w:numFmt w:val="lowerLetter"/>
      <w:lvlText w:val="%1)"/>
      <w:lvlJc w:val="left"/>
      <w:pPr>
        <w:ind w:left="1440" w:hanging="360"/>
      </w:pPr>
      <w:rPr>
        <w:rFonts w:hint="default"/>
      </w:rPr>
    </w:lvl>
    <w:lvl w:ilvl="1" w:tplc="919A285E">
      <w:start w:val="1"/>
      <w:numFmt w:val="bullet"/>
      <w:lvlText w:val="−"/>
      <w:lvlJc w:val="left"/>
      <w:pPr>
        <w:ind w:left="1068" w:hanging="360"/>
      </w:pPr>
      <w:rPr>
        <w:rFonts w:ascii="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A812925"/>
    <w:multiLevelType w:val="hybridMultilevel"/>
    <w:tmpl w:val="FFFFFFFF"/>
    <w:lvl w:ilvl="0" w:tplc="607250EA">
      <w:start w:val="1"/>
      <w:numFmt w:val="bullet"/>
      <w:lvlText w:val=""/>
      <w:lvlJc w:val="left"/>
      <w:pPr>
        <w:ind w:left="720" w:hanging="360"/>
      </w:pPr>
      <w:rPr>
        <w:rFonts w:ascii="Symbol" w:hAnsi="Symbol" w:hint="default"/>
      </w:rPr>
    </w:lvl>
    <w:lvl w:ilvl="1" w:tplc="8FB0DF60">
      <w:start w:val="1"/>
      <w:numFmt w:val="bullet"/>
      <w:lvlText w:val="o"/>
      <w:lvlJc w:val="left"/>
      <w:pPr>
        <w:ind w:left="1440" w:hanging="360"/>
      </w:pPr>
      <w:rPr>
        <w:rFonts w:ascii="Courier New" w:hAnsi="Courier New" w:hint="default"/>
      </w:rPr>
    </w:lvl>
    <w:lvl w:ilvl="2" w:tplc="FCD4ED84">
      <w:start w:val="1"/>
      <w:numFmt w:val="bullet"/>
      <w:lvlText w:val=""/>
      <w:lvlJc w:val="left"/>
      <w:pPr>
        <w:ind w:left="2160" w:hanging="360"/>
      </w:pPr>
      <w:rPr>
        <w:rFonts w:ascii="Wingdings" w:hAnsi="Wingdings" w:hint="default"/>
      </w:rPr>
    </w:lvl>
    <w:lvl w:ilvl="3" w:tplc="6EF2978C">
      <w:start w:val="1"/>
      <w:numFmt w:val="bullet"/>
      <w:lvlText w:val=""/>
      <w:lvlJc w:val="left"/>
      <w:pPr>
        <w:ind w:left="2880" w:hanging="360"/>
      </w:pPr>
      <w:rPr>
        <w:rFonts w:ascii="Symbol" w:hAnsi="Symbol" w:hint="default"/>
      </w:rPr>
    </w:lvl>
    <w:lvl w:ilvl="4" w:tplc="6DE21696">
      <w:start w:val="1"/>
      <w:numFmt w:val="bullet"/>
      <w:lvlText w:val="o"/>
      <w:lvlJc w:val="left"/>
      <w:pPr>
        <w:ind w:left="3600" w:hanging="360"/>
      </w:pPr>
      <w:rPr>
        <w:rFonts w:ascii="Courier New" w:hAnsi="Courier New" w:hint="default"/>
      </w:rPr>
    </w:lvl>
    <w:lvl w:ilvl="5" w:tplc="E780CCC8">
      <w:start w:val="1"/>
      <w:numFmt w:val="bullet"/>
      <w:lvlText w:val=""/>
      <w:lvlJc w:val="left"/>
      <w:pPr>
        <w:ind w:left="4320" w:hanging="360"/>
      </w:pPr>
      <w:rPr>
        <w:rFonts w:ascii="Wingdings" w:hAnsi="Wingdings" w:hint="default"/>
      </w:rPr>
    </w:lvl>
    <w:lvl w:ilvl="6" w:tplc="BF827CF2">
      <w:start w:val="1"/>
      <w:numFmt w:val="bullet"/>
      <w:lvlText w:val=""/>
      <w:lvlJc w:val="left"/>
      <w:pPr>
        <w:ind w:left="5040" w:hanging="360"/>
      </w:pPr>
      <w:rPr>
        <w:rFonts w:ascii="Symbol" w:hAnsi="Symbol" w:hint="default"/>
      </w:rPr>
    </w:lvl>
    <w:lvl w:ilvl="7" w:tplc="F7F637AA">
      <w:start w:val="1"/>
      <w:numFmt w:val="bullet"/>
      <w:lvlText w:val="o"/>
      <w:lvlJc w:val="left"/>
      <w:pPr>
        <w:ind w:left="5760" w:hanging="360"/>
      </w:pPr>
      <w:rPr>
        <w:rFonts w:ascii="Courier New" w:hAnsi="Courier New" w:hint="default"/>
      </w:rPr>
    </w:lvl>
    <w:lvl w:ilvl="8" w:tplc="EC6C9354">
      <w:start w:val="1"/>
      <w:numFmt w:val="bullet"/>
      <w:lvlText w:val=""/>
      <w:lvlJc w:val="left"/>
      <w:pPr>
        <w:ind w:left="6480" w:hanging="360"/>
      </w:pPr>
      <w:rPr>
        <w:rFonts w:ascii="Wingdings" w:hAnsi="Wingdings" w:hint="default"/>
      </w:rPr>
    </w:lvl>
  </w:abstractNum>
  <w:num w:numId="1" w16cid:durableId="1045325923">
    <w:abstractNumId w:val="7"/>
  </w:num>
  <w:num w:numId="2" w16cid:durableId="2016805878">
    <w:abstractNumId w:val="1"/>
  </w:num>
  <w:num w:numId="3" w16cid:durableId="1225947296">
    <w:abstractNumId w:val="12"/>
  </w:num>
  <w:num w:numId="4" w16cid:durableId="450368039">
    <w:abstractNumId w:val="9"/>
  </w:num>
  <w:num w:numId="5" w16cid:durableId="1718354136">
    <w:abstractNumId w:val="0"/>
  </w:num>
  <w:num w:numId="6" w16cid:durableId="1628659001">
    <w:abstractNumId w:val="2"/>
  </w:num>
  <w:num w:numId="7" w16cid:durableId="1593202458">
    <w:abstractNumId w:val="5"/>
  </w:num>
  <w:num w:numId="8" w16cid:durableId="1119108145">
    <w:abstractNumId w:val="10"/>
  </w:num>
  <w:num w:numId="9" w16cid:durableId="1373575065">
    <w:abstractNumId w:val="4"/>
  </w:num>
  <w:num w:numId="10" w16cid:durableId="281038005">
    <w:abstractNumId w:val="8"/>
  </w:num>
  <w:num w:numId="11" w16cid:durableId="1435055263">
    <w:abstractNumId w:val="3"/>
  </w:num>
  <w:num w:numId="12" w16cid:durableId="1494952085">
    <w:abstractNumId w:val="11"/>
  </w:num>
  <w:num w:numId="13" w16cid:durableId="1780291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CD"/>
    <w:rsid w:val="000012BB"/>
    <w:rsid w:val="00004427"/>
    <w:rsid w:val="0000464D"/>
    <w:rsid w:val="000110F1"/>
    <w:rsid w:val="000118A8"/>
    <w:rsid w:val="00013ACB"/>
    <w:rsid w:val="000158A2"/>
    <w:rsid w:val="00015D87"/>
    <w:rsid w:val="00016053"/>
    <w:rsid w:val="00020653"/>
    <w:rsid w:val="000260EB"/>
    <w:rsid w:val="0002668A"/>
    <w:rsid w:val="000276CF"/>
    <w:rsid w:val="00030F71"/>
    <w:rsid w:val="0003247C"/>
    <w:rsid w:val="00037ABF"/>
    <w:rsid w:val="0004145F"/>
    <w:rsid w:val="0004161E"/>
    <w:rsid w:val="0004301F"/>
    <w:rsid w:val="00046089"/>
    <w:rsid w:val="0004618A"/>
    <w:rsid w:val="00050223"/>
    <w:rsid w:val="00051229"/>
    <w:rsid w:val="0005129E"/>
    <w:rsid w:val="0005289E"/>
    <w:rsid w:val="00052FFA"/>
    <w:rsid w:val="000543A9"/>
    <w:rsid w:val="00055394"/>
    <w:rsid w:val="000568C9"/>
    <w:rsid w:val="000600B5"/>
    <w:rsid w:val="000614E0"/>
    <w:rsid w:val="000621EB"/>
    <w:rsid w:val="00062850"/>
    <w:rsid w:val="00062A5E"/>
    <w:rsid w:val="00063429"/>
    <w:rsid w:val="000642B7"/>
    <w:rsid w:val="000649E4"/>
    <w:rsid w:val="00066457"/>
    <w:rsid w:val="0006779B"/>
    <w:rsid w:val="00067F78"/>
    <w:rsid w:val="00070EF3"/>
    <w:rsid w:val="000714A3"/>
    <w:rsid w:val="0007202E"/>
    <w:rsid w:val="000731A3"/>
    <w:rsid w:val="00075512"/>
    <w:rsid w:val="00080019"/>
    <w:rsid w:val="00080726"/>
    <w:rsid w:val="00081D18"/>
    <w:rsid w:val="00082807"/>
    <w:rsid w:val="00085E82"/>
    <w:rsid w:val="00087B3C"/>
    <w:rsid w:val="00092B3A"/>
    <w:rsid w:val="00093C96"/>
    <w:rsid w:val="00095F0F"/>
    <w:rsid w:val="00097152"/>
    <w:rsid w:val="0009751D"/>
    <w:rsid w:val="000A0F81"/>
    <w:rsid w:val="000A199F"/>
    <w:rsid w:val="000A1D73"/>
    <w:rsid w:val="000A1EF5"/>
    <w:rsid w:val="000A257B"/>
    <w:rsid w:val="000A3668"/>
    <w:rsid w:val="000A56DC"/>
    <w:rsid w:val="000A5FD2"/>
    <w:rsid w:val="000B0100"/>
    <w:rsid w:val="000B0910"/>
    <w:rsid w:val="000B47A4"/>
    <w:rsid w:val="000B511B"/>
    <w:rsid w:val="000C187E"/>
    <w:rsid w:val="000C23CA"/>
    <w:rsid w:val="000D3AF5"/>
    <w:rsid w:val="000E1202"/>
    <w:rsid w:val="000E16EC"/>
    <w:rsid w:val="000E1C35"/>
    <w:rsid w:val="000E3E65"/>
    <w:rsid w:val="000E4723"/>
    <w:rsid w:val="000E64CF"/>
    <w:rsid w:val="000E6D55"/>
    <w:rsid w:val="000E73C4"/>
    <w:rsid w:val="000F12B1"/>
    <w:rsid w:val="000F1D16"/>
    <w:rsid w:val="000F3D87"/>
    <w:rsid w:val="000F519D"/>
    <w:rsid w:val="00101C19"/>
    <w:rsid w:val="00103380"/>
    <w:rsid w:val="00111348"/>
    <w:rsid w:val="00111670"/>
    <w:rsid w:val="00112477"/>
    <w:rsid w:val="00115E7D"/>
    <w:rsid w:val="00116DD2"/>
    <w:rsid w:val="00122831"/>
    <w:rsid w:val="00123692"/>
    <w:rsid w:val="00127E94"/>
    <w:rsid w:val="001316BD"/>
    <w:rsid w:val="00142544"/>
    <w:rsid w:val="0014655D"/>
    <w:rsid w:val="001470B0"/>
    <w:rsid w:val="00150512"/>
    <w:rsid w:val="001516FE"/>
    <w:rsid w:val="00155B64"/>
    <w:rsid w:val="001561CD"/>
    <w:rsid w:val="00156929"/>
    <w:rsid w:val="00157F4E"/>
    <w:rsid w:val="0016014E"/>
    <w:rsid w:val="00161181"/>
    <w:rsid w:val="00161AB9"/>
    <w:rsid w:val="001621C7"/>
    <w:rsid w:val="0016220E"/>
    <w:rsid w:val="00162D70"/>
    <w:rsid w:val="00165738"/>
    <w:rsid w:val="0017196B"/>
    <w:rsid w:val="001727A4"/>
    <w:rsid w:val="00172B60"/>
    <w:rsid w:val="00181780"/>
    <w:rsid w:val="00182A12"/>
    <w:rsid w:val="001832A2"/>
    <w:rsid w:val="00186D2D"/>
    <w:rsid w:val="00187794"/>
    <w:rsid w:val="00187D3C"/>
    <w:rsid w:val="00196157"/>
    <w:rsid w:val="00196D5B"/>
    <w:rsid w:val="001A0887"/>
    <w:rsid w:val="001A1BA5"/>
    <w:rsid w:val="001B04FC"/>
    <w:rsid w:val="001B1A5E"/>
    <w:rsid w:val="001B51B8"/>
    <w:rsid w:val="001B5EE8"/>
    <w:rsid w:val="001B688D"/>
    <w:rsid w:val="001C1939"/>
    <w:rsid w:val="001C215F"/>
    <w:rsid w:val="001C2EDF"/>
    <w:rsid w:val="001C4048"/>
    <w:rsid w:val="001C4FF2"/>
    <w:rsid w:val="001D03C2"/>
    <w:rsid w:val="001D12E1"/>
    <w:rsid w:val="001D181E"/>
    <w:rsid w:val="001D1BFD"/>
    <w:rsid w:val="001D2B22"/>
    <w:rsid w:val="001D5D46"/>
    <w:rsid w:val="001D674E"/>
    <w:rsid w:val="001D67B6"/>
    <w:rsid w:val="001E04CD"/>
    <w:rsid w:val="001E10FB"/>
    <w:rsid w:val="001E4154"/>
    <w:rsid w:val="001E4502"/>
    <w:rsid w:val="001E4A1E"/>
    <w:rsid w:val="001E5DC9"/>
    <w:rsid w:val="001F1120"/>
    <w:rsid w:val="001F365A"/>
    <w:rsid w:val="001F383C"/>
    <w:rsid w:val="001F6C2F"/>
    <w:rsid w:val="00200959"/>
    <w:rsid w:val="00205FC7"/>
    <w:rsid w:val="00206410"/>
    <w:rsid w:val="0020760B"/>
    <w:rsid w:val="00213345"/>
    <w:rsid w:val="00213C17"/>
    <w:rsid w:val="00216138"/>
    <w:rsid w:val="002163B4"/>
    <w:rsid w:val="0022377B"/>
    <w:rsid w:val="00224DEB"/>
    <w:rsid w:val="0022583C"/>
    <w:rsid w:val="00230B29"/>
    <w:rsid w:val="00232B80"/>
    <w:rsid w:val="002340C3"/>
    <w:rsid w:val="002370B8"/>
    <w:rsid w:val="00237186"/>
    <w:rsid w:val="00241E7D"/>
    <w:rsid w:val="00241E8F"/>
    <w:rsid w:val="00243DB4"/>
    <w:rsid w:val="00244558"/>
    <w:rsid w:val="00245B54"/>
    <w:rsid w:val="00245C8D"/>
    <w:rsid w:val="00252BBF"/>
    <w:rsid w:val="00252D2C"/>
    <w:rsid w:val="002571C8"/>
    <w:rsid w:val="002601FD"/>
    <w:rsid w:val="00262573"/>
    <w:rsid w:val="00264472"/>
    <w:rsid w:val="00265B6A"/>
    <w:rsid w:val="002742DB"/>
    <w:rsid w:val="00275A3C"/>
    <w:rsid w:val="002811CF"/>
    <w:rsid w:val="00284058"/>
    <w:rsid w:val="0028498A"/>
    <w:rsid w:val="00286255"/>
    <w:rsid w:val="00286384"/>
    <w:rsid w:val="00286B6B"/>
    <w:rsid w:val="00287037"/>
    <w:rsid w:val="00290E4A"/>
    <w:rsid w:val="00293318"/>
    <w:rsid w:val="00293C1A"/>
    <w:rsid w:val="00293E59"/>
    <w:rsid w:val="00294F68"/>
    <w:rsid w:val="002962D2"/>
    <w:rsid w:val="002A2E8A"/>
    <w:rsid w:val="002A4A9F"/>
    <w:rsid w:val="002A621D"/>
    <w:rsid w:val="002A64AC"/>
    <w:rsid w:val="002A6CB4"/>
    <w:rsid w:val="002A76A0"/>
    <w:rsid w:val="002A7817"/>
    <w:rsid w:val="002B02FC"/>
    <w:rsid w:val="002B2E23"/>
    <w:rsid w:val="002B5562"/>
    <w:rsid w:val="002B6C6C"/>
    <w:rsid w:val="002B7D2D"/>
    <w:rsid w:val="002C048D"/>
    <w:rsid w:val="002C078C"/>
    <w:rsid w:val="002C222C"/>
    <w:rsid w:val="002D2A32"/>
    <w:rsid w:val="002D4BFB"/>
    <w:rsid w:val="002D7D99"/>
    <w:rsid w:val="002E053E"/>
    <w:rsid w:val="002E1124"/>
    <w:rsid w:val="002E1E22"/>
    <w:rsid w:val="002E3753"/>
    <w:rsid w:val="002E513E"/>
    <w:rsid w:val="002E7197"/>
    <w:rsid w:val="002E7723"/>
    <w:rsid w:val="002F1C28"/>
    <w:rsid w:val="002F21E6"/>
    <w:rsid w:val="002F341A"/>
    <w:rsid w:val="002F4C08"/>
    <w:rsid w:val="002F51F9"/>
    <w:rsid w:val="002F7CD4"/>
    <w:rsid w:val="002F7E80"/>
    <w:rsid w:val="00300392"/>
    <w:rsid w:val="00300C67"/>
    <w:rsid w:val="003018E0"/>
    <w:rsid w:val="00301E42"/>
    <w:rsid w:val="0030458A"/>
    <w:rsid w:val="00305503"/>
    <w:rsid w:val="0030698C"/>
    <w:rsid w:val="00306D10"/>
    <w:rsid w:val="00310417"/>
    <w:rsid w:val="00311370"/>
    <w:rsid w:val="00311B70"/>
    <w:rsid w:val="00313233"/>
    <w:rsid w:val="0031526A"/>
    <w:rsid w:val="00315DAA"/>
    <w:rsid w:val="00316BAD"/>
    <w:rsid w:val="00321ADF"/>
    <w:rsid w:val="0032200A"/>
    <w:rsid w:val="00323444"/>
    <w:rsid w:val="00323CF1"/>
    <w:rsid w:val="00324B6B"/>
    <w:rsid w:val="00326276"/>
    <w:rsid w:val="003271D4"/>
    <w:rsid w:val="00327F82"/>
    <w:rsid w:val="00332015"/>
    <w:rsid w:val="00332D32"/>
    <w:rsid w:val="00333E91"/>
    <w:rsid w:val="0033405E"/>
    <w:rsid w:val="00335D0B"/>
    <w:rsid w:val="00343F97"/>
    <w:rsid w:val="00344454"/>
    <w:rsid w:val="00346066"/>
    <w:rsid w:val="003465A5"/>
    <w:rsid w:val="00346DB6"/>
    <w:rsid w:val="00350F44"/>
    <w:rsid w:val="00352CE6"/>
    <w:rsid w:val="003568FE"/>
    <w:rsid w:val="00356948"/>
    <w:rsid w:val="003625A7"/>
    <w:rsid w:val="00363842"/>
    <w:rsid w:val="0036556A"/>
    <w:rsid w:val="00365E70"/>
    <w:rsid w:val="0036742D"/>
    <w:rsid w:val="003675AE"/>
    <w:rsid w:val="003711D6"/>
    <w:rsid w:val="00371F5B"/>
    <w:rsid w:val="00375CFD"/>
    <w:rsid w:val="003761B8"/>
    <w:rsid w:val="00376885"/>
    <w:rsid w:val="003774A6"/>
    <w:rsid w:val="003818C7"/>
    <w:rsid w:val="00382884"/>
    <w:rsid w:val="00382A8F"/>
    <w:rsid w:val="00386466"/>
    <w:rsid w:val="00386E5E"/>
    <w:rsid w:val="00387F46"/>
    <w:rsid w:val="00390105"/>
    <w:rsid w:val="003909D4"/>
    <w:rsid w:val="003918E0"/>
    <w:rsid w:val="003931C6"/>
    <w:rsid w:val="003939AA"/>
    <w:rsid w:val="003966E8"/>
    <w:rsid w:val="0039693D"/>
    <w:rsid w:val="003A4802"/>
    <w:rsid w:val="003B20E3"/>
    <w:rsid w:val="003B39AD"/>
    <w:rsid w:val="003B47FF"/>
    <w:rsid w:val="003B56C8"/>
    <w:rsid w:val="003B7232"/>
    <w:rsid w:val="003B7267"/>
    <w:rsid w:val="003C0CCE"/>
    <w:rsid w:val="003C0F50"/>
    <w:rsid w:val="003C12F5"/>
    <w:rsid w:val="003C1437"/>
    <w:rsid w:val="003C31B7"/>
    <w:rsid w:val="003C3256"/>
    <w:rsid w:val="003C38EC"/>
    <w:rsid w:val="003C3983"/>
    <w:rsid w:val="003C3ED3"/>
    <w:rsid w:val="003C5250"/>
    <w:rsid w:val="003C5522"/>
    <w:rsid w:val="003D134F"/>
    <w:rsid w:val="003D32D6"/>
    <w:rsid w:val="003D53F9"/>
    <w:rsid w:val="003D76BF"/>
    <w:rsid w:val="003E0A14"/>
    <w:rsid w:val="003E0F0A"/>
    <w:rsid w:val="003E7408"/>
    <w:rsid w:val="003F503D"/>
    <w:rsid w:val="003F65DB"/>
    <w:rsid w:val="003F7393"/>
    <w:rsid w:val="004027C3"/>
    <w:rsid w:val="00404126"/>
    <w:rsid w:val="0040608C"/>
    <w:rsid w:val="004062A7"/>
    <w:rsid w:val="00407396"/>
    <w:rsid w:val="0040790E"/>
    <w:rsid w:val="004117C4"/>
    <w:rsid w:val="00413C5F"/>
    <w:rsid w:val="00414859"/>
    <w:rsid w:val="0041551C"/>
    <w:rsid w:val="00415CA6"/>
    <w:rsid w:val="00415DAC"/>
    <w:rsid w:val="00415F7A"/>
    <w:rsid w:val="0041628F"/>
    <w:rsid w:val="004163A4"/>
    <w:rsid w:val="00424F48"/>
    <w:rsid w:val="00427519"/>
    <w:rsid w:val="00427D35"/>
    <w:rsid w:val="0043739C"/>
    <w:rsid w:val="004426E2"/>
    <w:rsid w:val="00442F5A"/>
    <w:rsid w:val="004451AE"/>
    <w:rsid w:val="00445C96"/>
    <w:rsid w:val="00450323"/>
    <w:rsid w:val="00452FA8"/>
    <w:rsid w:val="00455C57"/>
    <w:rsid w:val="00463342"/>
    <w:rsid w:val="004636F0"/>
    <w:rsid w:val="00463918"/>
    <w:rsid w:val="00464C4D"/>
    <w:rsid w:val="00467821"/>
    <w:rsid w:val="0046797E"/>
    <w:rsid w:val="0047423A"/>
    <w:rsid w:val="00475847"/>
    <w:rsid w:val="00476C66"/>
    <w:rsid w:val="004801D9"/>
    <w:rsid w:val="0048190E"/>
    <w:rsid w:val="00485EB4"/>
    <w:rsid w:val="00486CB2"/>
    <w:rsid w:val="0048777A"/>
    <w:rsid w:val="00491377"/>
    <w:rsid w:val="00491943"/>
    <w:rsid w:val="00492085"/>
    <w:rsid w:val="00492B96"/>
    <w:rsid w:val="00492FF0"/>
    <w:rsid w:val="004956F5"/>
    <w:rsid w:val="00495CE4"/>
    <w:rsid w:val="004A0ABE"/>
    <w:rsid w:val="004A2AA9"/>
    <w:rsid w:val="004A3092"/>
    <w:rsid w:val="004A5D9C"/>
    <w:rsid w:val="004A7056"/>
    <w:rsid w:val="004B0411"/>
    <w:rsid w:val="004B0B0C"/>
    <w:rsid w:val="004B3B43"/>
    <w:rsid w:val="004B3CCD"/>
    <w:rsid w:val="004B3CE4"/>
    <w:rsid w:val="004B42C2"/>
    <w:rsid w:val="004B467B"/>
    <w:rsid w:val="004B5E2A"/>
    <w:rsid w:val="004B67DB"/>
    <w:rsid w:val="004B6907"/>
    <w:rsid w:val="004C0284"/>
    <w:rsid w:val="004C4024"/>
    <w:rsid w:val="004C4911"/>
    <w:rsid w:val="004D1C17"/>
    <w:rsid w:val="004D267C"/>
    <w:rsid w:val="004D2963"/>
    <w:rsid w:val="004D3128"/>
    <w:rsid w:val="004D33BA"/>
    <w:rsid w:val="004D4B43"/>
    <w:rsid w:val="004D5013"/>
    <w:rsid w:val="004D5E4A"/>
    <w:rsid w:val="004E1940"/>
    <w:rsid w:val="004E1FBD"/>
    <w:rsid w:val="004E3CDB"/>
    <w:rsid w:val="004E4684"/>
    <w:rsid w:val="004E4875"/>
    <w:rsid w:val="004E6312"/>
    <w:rsid w:val="004F2239"/>
    <w:rsid w:val="004F3466"/>
    <w:rsid w:val="004F3C2F"/>
    <w:rsid w:val="004F4AFF"/>
    <w:rsid w:val="004F6E41"/>
    <w:rsid w:val="004F7270"/>
    <w:rsid w:val="005000BF"/>
    <w:rsid w:val="005009CC"/>
    <w:rsid w:val="0050123C"/>
    <w:rsid w:val="00503585"/>
    <w:rsid w:val="005046CF"/>
    <w:rsid w:val="00506337"/>
    <w:rsid w:val="00512390"/>
    <w:rsid w:val="005123DD"/>
    <w:rsid w:val="0051257A"/>
    <w:rsid w:val="00512EB4"/>
    <w:rsid w:val="005149E4"/>
    <w:rsid w:val="005151D3"/>
    <w:rsid w:val="00515A6E"/>
    <w:rsid w:val="0052019D"/>
    <w:rsid w:val="0052120A"/>
    <w:rsid w:val="00521D41"/>
    <w:rsid w:val="00523938"/>
    <w:rsid w:val="005239D9"/>
    <w:rsid w:val="00523B90"/>
    <w:rsid w:val="00524D6F"/>
    <w:rsid w:val="005257E8"/>
    <w:rsid w:val="00525F5C"/>
    <w:rsid w:val="00526FB8"/>
    <w:rsid w:val="00531055"/>
    <w:rsid w:val="00532A7C"/>
    <w:rsid w:val="00532DB8"/>
    <w:rsid w:val="00535703"/>
    <w:rsid w:val="005357D2"/>
    <w:rsid w:val="00536F22"/>
    <w:rsid w:val="00537742"/>
    <w:rsid w:val="00543DA0"/>
    <w:rsid w:val="005468EE"/>
    <w:rsid w:val="005544C9"/>
    <w:rsid w:val="00556522"/>
    <w:rsid w:val="00557106"/>
    <w:rsid w:val="00557FA9"/>
    <w:rsid w:val="005641A9"/>
    <w:rsid w:val="00567A01"/>
    <w:rsid w:val="00567F26"/>
    <w:rsid w:val="00575859"/>
    <w:rsid w:val="00575F16"/>
    <w:rsid w:val="0057651A"/>
    <w:rsid w:val="00577570"/>
    <w:rsid w:val="00581DBA"/>
    <w:rsid w:val="00582A49"/>
    <w:rsid w:val="00582AA1"/>
    <w:rsid w:val="00584311"/>
    <w:rsid w:val="00584E19"/>
    <w:rsid w:val="00586EB7"/>
    <w:rsid w:val="00586FE7"/>
    <w:rsid w:val="00590559"/>
    <w:rsid w:val="00591125"/>
    <w:rsid w:val="00591E8C"/>
    <w:rsid w:val="00592480"/>
    <w:rsid w:val="00593229"/>
    <w:rsid w:val="005940D3"/>
    <w:rsid w:val="00595622"/>
    <w:rsid w:val="00595712"/>
    <w:rsid w:val="00596669"/>
    <w:rsid w:val="00597954"/>
    <w:rsid w:val="005A2E22"/>
    <w:rsid w:val="005A4C06"/>
    <w:rsid w:val="005A6F0F"/>
    <w:rsid w:val="005A7ECE"/>
    <w:rsid w:val="005B05FD"/>
    <w:rsid w:val="005B31F6"/>
    <w:rsid w:val="005B62FC"/>
    <w:rsid w:val="005C1784"/>
    <w:rsid w:val="005C1AD7"/>
    <w:rsid w:val="005C25B9"/>
    <w:rsid w:val="005C3E9D"/>
    <w:rsid w:val="005C4A59"/>
    <w:rsid w:val="005C6A8C"/>
    <w:rsid w:val="005C73A0"/>
    <w:rsid w:val="005C7B54"/>
    <w:rsid w:val="005D6D5F"/>
    <w:rsid w:val="005D6F8A"/>
    <w:rsid w:val="005D715E"/>
    <w:rsid w:val="005E1869"/>
    <w:rsid w:val="005E1C34"/>
    <w:rsid w:val="005E2D80"/>
    <w:rsid w:val="005E37CF"/>
    <w:rsid w:val="005E491D"/>
    <w:rsid w:val="005E5ECB"/>
    <w:rsid w:val="005F24CE"/>
    <w:rsid w:val="005F2A0D"/>
    <w:rsid w:val="005F6F4F"/>
    <w:rsid w:val="00600A74"/>
    <w:rsid w:val="00603E2C"/>
    <w:rsid w:val="00610684"/>
    <w:rsid w:val="006108CC"/>
    <w:rsid w:val="00610AAA"/>
    <w:rsid w:val="006115EE"/>
    <w:rsid w:val="00611857"/>
    <w:rsid w:val="006141D5"/>
    <w:rsid w:val="0061570F"/>
    <w:rsid w:val="006162C5"/>
    <w:rsid w:val="00620B3C"/>
    <w:rsid w:val="006211D4"/>
    <w:rsid w:val="0062120F"/>
    <w:rsid w:val="00621D92"/>
    <w:rsid w:val="00622967"/>
    <w:rsid w:val="00623F17"/>
    <w:rsid w:val="0062628A"/>
    <w:rsid w:val="00627A32"/>
    <w:rsid w:val="006300D2"/>
    <w:rsid w:val="0063199B"/>
    <w:rsid w:val="00631CF4"/>
    <w:rsid w:val="00631D87"/>
    <w:rsid w:val="00632813"/>
    <w:rsid w:val="00643EC8"/>
    <w:rsid w:val="00643F09"/>
    <w:rsid w:val="00644831"/>
    <w:rsid w:val="00650102"/>
    <w:rsid w:val="00650A7E"/>
    <w:rsid w:val="006524CB"/>
    <w:rsid w:val="00652BDC"/>
    <w:rsid w:val="0065361F"/>
    <w:rsid w:val="00653943"/>
    <w:rsid w:val="006542C1"/>
    <w:rsid w:val="00655716"/>
    <w:rsid w:val="0065585F"/>
    <w:rsid w:val="00662AE7"/>
    <w:rsid w:val="00667B51"/>
    <w:rsid w:val="00670AB7"/>
    <w:rsid w:val="0067125E"/>
    <w:rsid w:val="00671602"/>
    <w:rsid w:val="00671FAF"/>
    <w:rsid w:val="00672491"/>
    <w:rsid w:val="00674035"/>
    <w:rsid w:val="0067466D"/>
    <w:rsid w:val="0068239D"/>
    <w:rsid w:val="00682FDB"/>
    <w:rsid w:val="00685DE5"/>
    <w:rsid w:val="0069001B"/>
    <w:rsid w:val="00691619"/>
    <w:rsid w:val="00692A9F"/>
    <w:rsid w:val="00692F6F"/>
    <w:rsid w:val="0069305B"/>
    <w:rsid w:val="006935B8"/>
    <w:rsid w:val="006936E2"/>
    <w:rsid w:val="006972CD"/>
    <w:rsid w:val="0069798F"/>
    <w:rsid w:val="006A127A"/>
    <w:rsid w:val="006A2C4F"/>
    <w:rsid w:val="006A3E39"/>
    <w:rsid w:val="006A4117"/>
    <w:rsid w:val="006A7E1A"/>
    <w:rsid w:val="006B2FD8"/>
    <w:rsid w:val="006B43D7"/>
    <w:rsid w:val="006B5828"/>
    <w:rsid w:val="006B69E5"/>
    <w:rsid w:val="006C12C9"/>
    <w:rsid w:val="006C18BE"/>
    <w:rsid w:val="006C2452"/>
    <w:rsid w:val="006C2F48"/>
    <w:rsid w:val="006C3F7D"/>
    <w:rsid w:val="006C5369"/>
    <w:rsid w:val="006C5796"/>
    <w:rsid w:val="006D057C"/>
    <w:rsid w:val="006D0A25"/>
    <w:rsid w:val="006D17C4"/>
    <w:rsid w:val="006D3979"/>
    <w:rsid w:val="006D6B86"/>
    <w:rsid w:val="006D73D2"/>
    <w:rsid w:val="006D77B2"/>
    <w:rsid w:val="006D7814"/>
    <w:rsid w:val="006D7C9B"/>
    <w:rsid w:val="006E2735"/>
    <w:rsid w:val="006E31C5"/>
    <w:rsid w:val="006E31CE"/>
    <w:rsid w:val="006E3B7A"/>
    <w:rsid w:val="006E5B8F"/>
    <w:rsid w:val="006F0356"/>
    <w:rsid w:val="006F13BE"/>
    <w:rsid w:val="006F3A96"/>
    <w:rsid w:val="006F44B4"/>
    <w:rsid w:val="00703E2A"/>
    <w:rsid w:val="0070757A"/>
    <w:rsid w:val="00711B5D"/>
    <w:rsid w:val="00712640"/>
    <w:rsid w:val="007135A4"/>
    <w:rsid w:val="00715279"/>
    <w:rsid w:val="0071540B"/>
    <w:rsid w:val="00715FE2"/>
    <w:rsid w:val="0071777E"/>
    <w:rsid w:val="00721E4B"/>
    <w:rsid w:val="0072398F"/>
    <w:rsid w:val="00725A8C"/>
    <w:rsid w:val="00727ADB"/>
    <w:rsid w:val="00727B96"/>
    <w:rsid w:val="007302CF"/>
    <w:rsid w:val="00732BF8"/>
    <w:rsid w:val="007338DC"/>
    <w:rsid w:val="00733A9F"/>
    <w:rsid w:val="0074068B"/>
    <w:rsid w:val="0074095A"/>
    <w:rsid w:val="0074624F"/>
    <w:rsid w:val="00746CCB"/>
    <w:rsid w:val="007472DD"/>
    <w:rsid w:val="00752A3F"/>
    <w:rsid w:val="00752BBE"/>
    <w:rsid w:val="00753BC2"/>
    <w:rsid w:val="00754B18"/>
    <w:rsid w:val="0076299F"/>
    <w:rsid w:val="00762B90"/>
    <w:rsid w:val="00764CA8"/>
    <w:rsid w:val="00767491"/>
    <w:rsid w:val="00767622"/>
    <w:rsid w:val="007723F3"/>
    <w:rsid w:val="007768C9"/>
    <w:rsid w:val="00777578"/>
    <w:rsid w:val="00782FFC"/>
    <w:rsid w:val="00783D78"/>
    <w:rsid w:val="00786320"/>
    <w:rsid w:val="007911FA"/>
    <w:rsid w:val="00792650"/>
    <w:rsid w:val="00795108"/>
    <w:rsid w:val="00795220"/>
    <w:rsid w:val="00797110"/>
    <w:rsid w:val="007A24AD"/>
    <w:rsid w:val="007A2C88"/>
    <w:rsid w:val="007A3191"/>
    <w:rsid w:val="007A42EA"/>
    <w:rsid w:val="007A575E"/>
    <w:rsid w:val="007B17A0"/>
    <w:rsid w:val="007B1C22"/>
    <w:rsid w:val="007B1E04"/>
    <w:rsid w:val="007B2673"/>
    <w:rsid w:val="007B28A0"/>
    <w:rsid w:val="007B41E0"/>
    <w:rsid w:val="007B5A05"/>
    <w:rsid w:val="007C0245"/>
    <w:rsid w:val="007C181B"/>
    <w:rsid w:val="007C228B"/>
    <w:rsid w:val="007C5CFA"/>
    <w:rsid w:val="007C69D5"/>
    <w:rsid w:val="007D0B00"/>
    <w:rsid w:val="007D12B1"/>
    <w:rsid w:val="007D3304"/>
    <w:rsid w:val="007D4500"/>
    <w:rsid w:val="007D5848"/>
    <w:rsid w:val="007D7E69"/>
    <w:rsid w:val="007E0F73"/>
    <w:rsid w:val="007E6184"/>
    <w:rsid w:val="007F4C49"/>
    <w:rsid w:val="007F5F4B"/>
    <w:rsid w:val="007F705C"/>
    <w:rsid w:val="00801619"/>
    <w:rsid w:val="00801CBC"/>
    <w:rsid w:val="00802922"/>
    <w:rsid w:val="008046A3"/>
    <w:rsid w:val="00810F3E"/>
    <w:rsid w:val="00811A82"/>
    <w:rsid w:val="008120C7"/>
    <w:rsid w:val="00812740"/>
    <w:rsid w:val="00813221"/>
    <w:rsid w:val="00814221"/>
    <w:rsid w:val="00816D98"/>
    <w:rsid w:val="00821044"/>
    <w:rsid w:val="00821650"/>
    <w:rsid w:val="00822A0C"/>
    <w:rsid w:val="00823F11"/>
    <w:rsid w:val="00826D1B"/>
    <w:rsid w:val="008301FC"/>
    <w:rsid w:val="00830B46"/>
    <w:rsid w:val="00832208"/>
    <w:rsid w:val="00833E36"/>
    <w:rsid w:val="0083716E"/>
    <w:rsid w:val="00846D21"/>
    <w:rsid w:val="00846EE8"/>
    <w:rsid w:val="00847FB3"/>
    <w:rsid w:val="008510F7"/>
    <w:rsid w:val="00852011"/>
    <w:rsid w:val="008538FF"/>
    <w:rsid w:val="0085458C"/>
    <w:rsid w:val="00855C2D"/>
    <w:rsid w:val="0085614D"/>
    <w:rsid w:val="00863190"/>
    <w:rsid w:val="0086345B"/>
    <w:rsid w:val="0086551C"/>
    <w:rsid w:val="0087297A"/>
    <w:rsid w:val="00873734"/>
    <w:rsid w:val="00874618"/>
    <w:rsid w:val="008774AD"/>
    <w:rsid w:val="00881258"/>
    <w:rsid w:val="008845CB"/>
    <w:rsid w:val="00884F76"/>
    <w:rsid w:val="00885400"/>
    <w:rsid w:val="00885B82"/>
    <w:rsid w:val="0088661F"/>
    <w:rsid w:val="00891FC2"/>
    <w:rsid w:val="008945B0"/>
    <w:rsid w:val="00895A12"/>
    <w:rsid w:val="00897DED"/>
    <w:rsid w:val="008A1D3B"/>
    <w:rsid w:val="008A23AB"/>
    <w:rsid w:val="008A25B1"/>
    <w:rsid w:val="008A292C"/>
    <w:rsid w:val="008A3C99"/>
    <w:rsid w:val="008A58BC"/>
    <w:rsid w:val="008A6FDB"/>
    <w:rsid w:val="008A711C"/>
    <w:rsid w:val="008A7312"/>
    <w:rsid w:val="008A736E"/>
    <w:rsid w:val="008B287B"/>
    <w:rsid w:val="008B2944"/>
    <w:rsid w:val="008B6FE8"/>
    <w:rsid w:val="008B702F"/>
    <w:rsid w:val="008B712F"/>
    <w:rsid w:val="008B7CB0"/>
    <w:rsid w:val="008B7EF5"/>
    <w:rsid w:val="008C0D30"/>
    <w:rsid w:val="008C3076"/>
    <w:rsid w:val="008C4EE4"/>
    <w:rsid w:val="008C5349"/>
    <w:rsid w:val="008C7524"/>
    <w:rsid w:val="008D0D8D"/>
    <w:rsid w:val="008D5F24"/>
    <w:rsid w:val="008D710E"/>
    <w:rsid w:val="008D7406"/>
    <w:rsid w:val="008E4879"/>
    <w:rsid w:val="008E6E4F"/>
    <w:rsid w:val="008F3894"/>
    <w:rsid w:val="008F4421"/>
    <w:rsid w:val="0090212D"/>
    <w:rsid w:val="009027DF"/>
    <w:rsid w:val="0091591A"/>
    <w:rsid w:val="00921CF0"/>
    <w:rsid w:val="00921E9D"/>
    <w:rsid w:val="00921FDD"/>
    <w:rsid w:val="0092465C"/>
    <w:rsid w:val="00925924"/>
    <w:rsid w:val="00937DE8"/>
    <w:rsid w:val="00940BA8"/>
    <w:rsid w:val="00942961"/>
    <w:rsid w:val="009442D8"/>
    <w:rsid w:val="00944F55"/>
    <w:rsid w:val="00946092"/>
    <w:rsid w:val="009468BF"/>
    <w:rsid w:val="00947408"/>
    <w:rsid w:val="009476C3"/>
    <w:rsid w:val="0094780B"/>
    <w:rsid w:val="00950233"/>
    <w:rsid w:val="0095260E"/>
    <w:rsid w:val="009533C6"/>
    <w:rsid w:val="00953A90"/>
    <w:rsid w:val="009542D7"/>
    <w:rsid w:val="009544CD"/>
    <w:rsid w:val="00955B9F"/>
    <w:rsid w:val="00956BA2"/>
    <w:rsid w:val="0096014E"/>
    <w:rsid w:val="00960292"/>
    <w:rsid w:val="0096057D"/>
    <w:rsid w:val="00960F7B"/>
    <w:rsid w:val="00964BC7"/>
    <w:rsid w:val="00964EE8"/>
    <w:rsid w:val="009653B1"/>
    <w:rsid w:val="00972F72"/>
    <w:rsid w:val="0098138F"/>
    <w:rsid w:val="00985F8C"/>
    <w:rsid w:val="00990394"/>
    <w:rsid w:val="00990537"/>
    <w:rsid w:val="0099083C"/>
    <w:rsid w:val="00992C07"/>
    <w:rsid w:val="00993DFE"/>
    <w:rsid w:val="00993E35"/>
    <w:rsid w:val="0099626F"/>
    <w:rsid w:val="009A1975"/>
    <w:rsid w:val="009A1F79"/>
    <w:rsid w:val="009A2065"/>
    <w:rsid w:val="009A2257"/>
    <w:rsid w:val="009A2F48"/>
    <w:rsid w:val="009A76D4"/>
    <w:rsid w:val="009A7788"/>
    <w:rsid w:val="009B1F29"/>
    <w:rsid w:val="009B3792"/>
    <w:rsid w:val="009B62AF"/>
    <w:rsid w:val="009B7391"/>
    <w:rsid w:val="009C0AB6"/>
    <w:rsid w:val="009C0D5A"/>
    <w:rsid w:val="009C2095"/>
    <w:rsid w:val="009C321A"/>
    <w:rsid w:val="009C7BEB"/>
    <w:rsid w:val="009D0817"/>
    <w:rsid w:val="009D2667"/>
    <w:rsid w:val="009D27F7"/>
    <w:rsid w:val="009E17C9"/>
    <w:rsid w:val="009E1CB2"/>
    <w:rsid w:val="009E41B8"/>
    <w:rsid w:val="009E54D0"/>
    <w:rsid w:val="009E616E"/>
    <w:rsid w:val="009E6312"/>
    <w:rsid w:val="009E6F62"/>
    <w:rsid w:val="009F3AF6"/>
    <w:rsid w:val="009F4803"/>
    <w:rsid w:val="009F5823"/>
    <w:rsid w:val="00A0119F"/>
    <w:rsid w:val="00A01A77"/>
    <w:rsid w:val="00A01AE1"/>
    <w:rsid w:val="00A03A91"/>
    <w:rsid w:val="00A03B76"/>
    <w:rsid w:val="00A0421B"/>
    <w:rsid w:val="00A055DC"/>
    <w:rsid w:val="00A0578E"/>
    <w:rsid w:val="00A05B37"/>
    <w:rsid w:val="00A06147"/>
    <w:rsid w:val="00A069C2"/>
    <w:rsid w:val="00A078B9"/>
    <w:rsid w:val="00A12504"/>
    <w:rsid w:val="00A12A97"/>
    <w:rsid w:val="00A13779"/>
    <w:rsid w:val="00A146D0"/>
    <w:rsid w:val="00A156DE"/>
    <w:rsid w:val="00A159C3"/>
    <w:rsid w:val="00A2104F"/>
    <w:rsid w:val="00A21362"/>
    <w:rsid w:val="00A2555A"/>
    <w:rsid w:val="00A2656E"/>
    <w:rsid w:val="00A31D89"/>
    <w:rsid w:val="00A31ECA"/>
    <w:rsid w:val="00A330DA"/>
    <w:rsid w:val="00A34585"/>
    <w:rsid w:val="00A35BEF"/>
    <w:rsid w:val="00A417A8"/>
    <w:rsid w:val="00A420EB"/>
    <w:rsid w:val="00A4218B"/>
    <w:rsid w:val="00A441DF"/>
    <w:rsid w:val="00A45B91"/>
    <w:rsid w:val="00A57B70"/>
    <w:rsid w:val="00A57CC5"/>
    <w:rsid w:val="00A61F36"/>
    <w:rsid w:val="00A704BE"/>
    <w:rsid w:val="00A715C1"/>
    <w:rsid w:val="00A7274B"/>
    <w:rsid w:val="00A73CA5"/>
    <w:rsid w:val="00A775B6"/>
    <w:rsid w:val="00A82655"/>
    <w:rsid w:val="00A8297E"/>
    <w:rsid w:val="00A84C90"/>
    <w:rsid w:val="00A86430"/>
    <w:rsid w:val="00A876E8"/>
    <w:rsid w:val="00A930B3"/>
    <w:rsid w:val="00A9329A"/>
    <w:rsid w:val="00A94BCA"/>
    <w:rsid w:val="00A97E76"/>
    <w:rsid w:val="00AA1145"/>
    <w:rsid w:val="00AA3004"/>
    <w:rsid w:val="00AA7E9C"/>
    <w:rsid w:val="00AA7F5A"/>
    <w:rsid w:val="00AB3201"/>
    <w:rsid w:val="00AC0BA6"/>
    <w:rsid w:val="00AC456A"/>
    <w:rsid w:val="00AC50B9"/>
    <w:rsid w:val="00AC716C"/>
    <w:rsid w:val="00AD0F9F"/>
    <w:rsid w:val="00AD2D1A"/>
    <w:rsid w:val="00AD4301"/>
    <w:rsid w:val="00AD5FBC"/>
    <w:rsid w:val="00AD7BB1"/>
    <w:rsid w:val="00AE41D7"/>
    <w:rsid w:val="00AE4778"/>
    <w:rsid w:val="00AF1259"/>
    <w:rsid w:val="00AF1F2D"/>
    <w:rsid w:val="00AF275D"/>
    <w:rsid w:val="00AF2979"/>
    <w:rsid w:val="00AF310F"/>
    <w:rsid w:val="00AF3DE9"/>
    <w:rsid w:val="00AF48DF"/>
    <w:rsid w:val="00AF59AF"/>
    <w:rsid w:val="00AF66C7"/>
    <w:rsid w:val="00AF6CEB"/>
    <w:rsid w:val="00B0239A"/>
    <w:rsid w:val="00B0356C"/>
    <w:rsid w:val="00B070F7"/>
    <w:rsid w:val="00B076C4"/>
    <w:rsid w:val="00B07D49"/>
    <w:rsid w:val="00B14A8D"/>
    <w:rsid w:val="00B15AC1"/>
    <w:rsid w:val="00B166B1"/>
    <w:rsid w:val="00B21F50"/>
    <w:rsid w:val="00B22824"/>
    <w:rsid w:val="00B23069"/>
    <w:rsid w:val="00B249F3"/>
    <w:rsid w:val="00B24C18"/>
    <w:rsid w:val="00B2544F"/>
    <w:rsid w:val="00B254CD"/>
    <w:rsid w:val="00B2562D"/>
    <w:rsid w:val="00B25C85"/>
    <w:rsid w:val="00B25F13"/>
    <w:rsid w:val="00B267AA"/>
    <w:rsid w:val="00B31163"/>
    <w:rsid w:val="00B32705"/>
    <w:rsid w:val="00B34120"/>
    <w:rsid w:val="00B347AB"/>
    <w:rsid w:val="00B354E6"/>
    <w:rsid w:val="00B401B0"/>
    <w:rsid w:val="00B430FB"/>
    <w:rsid w:val="00B45695"/>
    <w:rsid w:val="00B464DC"/>
    <w:rsid w:val="00B47EF2"/>
    <w:rsid w:val="00B52021"/>
    <w:rsid w:val="00B53AE1"/>
    <w:rsid w:val="00B54CFE"/>
    <w:rsid w:val="00B557DE"/>
    <w:rsid w:val="00B55C11"/>
    <w:rsid w:val="00B620B8"/>
    <w:rsid w:val="00B632FA"/>
    <w:rsid w:val="00B63B61"/>
    <w:rsid w:val="00B64A08"/>
    <w:rsid w:val="00B70739"/>
    <w:rsid w:val="00B72135"/>
    <w:rsid w:val="00B744E6"/>
    <w:rsid w:val="00B74DD2"/>
    <w:rsid w:val="00B75124"/>
    <w:rsid w:val="00B753D7"/>
    <w:rsid w:val="00B767A2"/>
    <w:rsid w:val="00B77A97"/>
    <w:rsid w:val="00B80F7B"/>
    <w:rsid w:val="00B81692"/>
    <w:rsid w:val="00B81DB9"/>
    <w:rsid w:val="00B827EA"/>
    <w:rsid w:val="00B8496D"/>
    <w:rsid w:val="00B84B5D"/>
    <w:rsid w:val="00B92DB2"/>
    <w:rsid w:val="00B932AC"/>
    <w:rsid w:val="00B93A62"/>
    <w:rsid w:val="00BA06A8"/>
    <w:rsid w:val="00BA162B"/>
    <w:rsid w:val="00BA626C"/>
    <w:rsid w:val="00BA63EE"/>
    <w:rsid w:val="00BA6481"/>
    <w:rsid w:val="00BA6D03"/>
    <w:rsid w:val="00BA6FBD"/>
    <w:rsid w:val="00BB5DB8"/>
    <w:rsid w:val="00BB647A"/>
    <w:rsid w:val="00BB6723"/>
    <w:rsid w:val="00BC0512"/>
    <w:rsid w:val="00BC0929"/>
    <w:rsid w:val="00BC2300"/>
    <w:rsid w:val="00BC2D91"/>
    <w:rsid w:val="00BC3345"/>
    <w:rsid w:val="00BC38B8"/>
    <w:rsid w:val="00BC460C"/>
    <w:rsid w:val="00BC491F"/>
    <w:rsid w:val="00BC53AC"/>
    <w:rsid w:val="00BC7978"/>
    <w:rsid w:val="00BD0411"/>
    <w:rsid w:val="00BD0CDB"/>
    <w:rsid w:val="00BD0E14"/>
    <w:rsid w:val="00BD14A7"/>
    <w:rsid w:val="00BD35B3"/>
    <w:rsid w:val="00BD545E"/>
    <w:rsid w:val="00BE186A"/>
    <w:rsid w:val="00BE367E"/>
    <w:rsid w:val="00BE4E5D"/>
    <w:rsid w:val="00BE6205"/>
    <w:rsid w:val="00BE7E39"/>
    <w:rsid w:val="00BF16DD"/>
    <w:rsid w:val="00BF26B2"/>
    <w:rsid w:val="00BF3109"/>
    <w:rsid w:val="00BF3BBA"/>
    <w:rsid w:val="00BF4A54"/>
    <w:rsid w:val="00BF55F4"/>
    <w:rsid w:val="00BF671D"/>
    <w:rsid w:val="00BF6930"/>
    <w:rsid w:val="00BF7BAD"/>
    <w:rsid w:val="00C01C2D"/>
    <w:rsid w:val="00C024FF"/>
    <w:rsid w:val="00C03E99"/>
    <w:rsid w:val="00C04894"/>
    <w:rsid w:val="00C0584C"/>
    <w:rsid w:val="00C060E6"/>
    <w:rsid w:val="00C07202"/>
    <w:rsid w:val="00C07218"/>
    <w:rsid w:val="00C10DD8"/>
    <w:rsid w:val="00C12C5D"/>
    <w:rsid w:val="00C13058"/>
    <w:rsid w:val="00C16CF6"/>
    <w:rsid w:val="00C17D5D"/>
    <w:rsid w:val="00C23001"/>
    <w:rsid w:val="00C25CE5"/>
    <w:rsid w:val="00C262F7"/>
    <w:rsid w:val="00C32982"/>
    <w:rsid w:val="00C36552"/>
    <w:rsid w:val="00C37F37"/>
    <w:rsid w:val="00C40846"/>
    <w:rsid w:val="00C45DE8"/>
    <w:rsid w:val="00C45E22"/>
    <w:rsid w:val="00C460A7"/>
    <w:rsid w:val="00C476CB"/>
    <w:rsid w:val="00C478C5"/>
    <w:rsid w:val="00C50277"/>
    <w:rsid w:val="00C51104"/>
    <w:rsid w:val="00C51314"/>
    <w:rsid w:val="00C52E83"/>
    <w:rsid w:val="00C5402A"/>
    <w:rsid w:val="00C55161"/>
    <w:rsid w:val="00C55A98"/>
    <w:rsid w:val="00C57920"/>
    <w:rsid w:val="00C61863"/>
    <w:rsid w:val="00C61D74"/>
    <w:rsid w:val="00C62463"/>
    <w:rsid w:val="00C62F8E"/>
    <w:rsid w:val="00C63B45"/>
    <w:rsid w:val="00C642EE"/>
    <w:rsid w:val="00C656C7"/>
    <w:rsid w:val="00C65E78"/>
    <w:rsid w:val="00C67CAE"/>
    <w:rsid w:val="00C7094F"/>
    <w:rsid w:val="00C71007"/>
    <w:rsid w:val="00C717CF"/>
    <w:rsid w:val="00C726FE"/>
    <w:rsid w:val="00C752EB"/>
    <w:rsid w:val="00C77421"/>
    <w:rsid w:val="00C77DAA"/>
    <w:rsid w:val="00C816EE"/>
    <w:rsid w:val="00C834C2"/>
    <w:rsid w:val="00C8502A"/>
    <w:rsid w:val="00C86866"/>
    <w:rsid w:val="00C86CF3"/>
    <w:rsid w:val="00C8718C"/>
    <w:rsid w:val="00C8767D"/>
    <w:rsid w:val="00C90072"/>
    <w:rsid w:val="00C90193"/>
    <w:rsid w:val="00C9025F"/>
    <w:rsid w:val="00C9120F"/>
    <w:rsid w:val="00C914A7"/>
    <w:rsid w:val="00C946DF"/>
    <w:rsid w:val="00C95125"/>
    <w:rsid w:val="00C96C16"/>
    <w:rsid w:val="00C97AED"/>
    <w:rsid w:val="00CA0291"/>
    <w:rsid w:val="00CA2EC5"/>
    <w:rsid w:val="00CA34BC"/>
    <w:rsid w:val="00CA69A4"/>
    <w:rsid w:val="00CB0766"/>
    <w:rsid w:val="00CB1319"/>
    <w:rsid w:val="00CB2EC0"/>
    <w:rsid w:val="00CB2FD4"/>
    <w:rsid w:val="00CB31C9"/>
    <w:rsid w:val="00CB336E"/>
    <w:rsid w:val="00CB492C"/>
    <w:rsid w:val="00CB5075"/>
    <w:rsid w:val="00CB577D"/>
    <w:rsid w:val="00CB5F98"/>
    <w:rsid w:val="00CB6469"/>
    <w:rsid w:val="00CC14E6"/>
    <w:rsid w:val="00CC2C30"/>
    <w:rsid w:val="00CC2C6B"/>
    <w:rsid w:val="00CC3062"/>
    <w:rsid w:val="00CC3AE4"/>
    <w:rsid w:val="00CC41C7"/>
    <w:rsid w:val="00CD30BF"/>
    <w:rsid w:val="00CD590B"/>
    <w:rsid w:val="00CD5BB0"/>
    <w:rsid w:val="00CE6CB0"/>
    <w:rsid w:val="00CF4B5E"/>
    <w:rsid w:val="00CF7506"/>
    <w:rsid w:val="00CF7DC5"/>
    <w:rsid w:val="00D004AE"/>
    <w:rsid w:val="00D00726"/>
    <w:rsid w:val="00D02C5D"/>
    <w:rsid w:val="00D040B7"/>
    <w:rsid w:val="00D047E2"/>
    <w:rsid w:val="00D04CDF"/>
    <w:rsid w:val="00D05767"/>
    <w:rsid w:val="00D05A94"/>
    <w:rsid w:val="00D05B73"/>
    <w:rsid w:val="00D063E8"/>
    <w:rsid w:val="00D06828"/>
    <w:rsid w:val="00D13A7A"/>
    <w:rsid w:val="00D21255"/>
    <w:rsid w:val="00D21D8C"/>
    <w:rsid w:val="00D22B7C"/>
    <w:rsid w:val="00D24D3D"/>
    <w:rsid w:val="00D2517F"/>
    <w:rsid w:val="00D2599E"/>
    <w:rsid w:val="00D30202"/>
    <w:rsid w:val="00D30219"/>
    <w:rsid w:val="00D302F7"/>
    <w:rsid w:val="00D32A59"/>
    <w:rsid w:val="00D335A1"/>
    <w:rsid w:val="00D33A8F"/>
    <w:rsid w:val="00D33D67"/>
    <w:rsid w:val="00D345CB"/>
    <w:rsid w:val="00D4185C"/>
    <w:rsid w:val="00D43C6C"/>
    <w:rsid w:val="00D43CB8"/>
    <w:rsid w:val="00D43E49"/>
    <w:rsid w:val="00D504E0"/>
    <w:rsid w:val="00D5069F"/>
    <w:rsid w:val="00D520CD"/>
    <w:rsid w:val="00D52102"/>
    <w:rsid w:val="00D533F0"/>
    <w:rsid w:val="00D53F97"/>
    <w:rsid w:val="00D553B2"/>
    <w:rsid w:val="00D615BA"/>
    <w:rsid w:val="00D618BA"/>
    <w:rsid w:val="00D63207"/>
    <w:rsid w:val="00D6741F"/>
    <w:rsid w:val="00D67438"/>
    <w:rsid w:val="00D71330"/>
    <w:rsid w:val="00D730EE"/>
    <w:rsid w:val="00D73566"/>
    <w:rsid w:val="00D7586F"/>
    <w:rsid w:val="00D76193"/>
    <w:rsid w:val="00D77127"/>
    <w:rsid w:val="00D77EFD"/>
    <w:rsid w:val="00D845EF"/>
    <w:rsid w:val="00D8737B"/>
    <w:rsid w:val="00D911A0"/>
    <w:rsid w:val="00D97782"/>
    <w:rsid w:val="00DA0F8B"/>
    <w:rsid w:val="00DA18B0"/>
    <w:rsid w:val="00DA1E11"/>
    <w:rsid w:val="00DA24E7"/>
    <w:rsid w:val="00DA29D3"/>
    <w:rsid w:val="00DA37C0"/>
    <w:rsid w:val="00DA4646"/>
    <w:rsid w:val="00DA4C9A"/>
    <w:rsid w:val="00DA523C"/>
    <w:rsid w:val="00DA562E"/>
    <w:rsid w:val="00DB0D5F"/>
    <w:rsid w:val="00DB0F3F"/>
    <w:rsid w:val="00DB5BE3"/>
    <w:rsid w:val="00DB71EC"/>
    <w:rsid w:val="00DC1994"/>
    <w:rsid w:val="00DC2392"/>
    <w:rsid w:val="00DC3A2C"/>
    <w:rsid w:val="00DC42EB"/>
    <w:rsid w:val="00DD0D14"/>
    <w:rsid w:val="00DD1E38"/>
    <w:rsid w:val="00DD283A"/>
    <w:rsid w:val="00DD3BE5"/>
    <w:rsid w:val="00DE1B4F"/>
    <w:rsid w:val="00DE2139"/>
    <w:rsid w:val="00DE29C6"/>
    <w:rsid w:val="00DE378C"/>
    <w:rsid w:val="00DE4399"/>
    <w:rsid w:val="00DF0022"/>
    <w:rsid w:val="00DF2647"/>
    <w:rsid w:val="00DF4E42"/>
    <w:rsid w:val="00DF4F06"/>
    <w:rsid w:val="00DF5295"/>
    <w:rsid w:val="00DF57B1"/>
    <w:rsid w:val="00DF7918"/>
    <w:rsid w:val="00E00B56"/>
    <w:rsid w:val="00E04F13"/>
    <w:rsid w:val="00E07AA2"/>
    <w:rsid w:val="00E1025C"/>
    <w:rsid w:val="00E10BB1"/>
    <w:rsid w:val="00E1216D"/>
    <w:rsid w:val="00E14914"/>
    <w:rsid w:val="00E1778A"/>
    <w:rsid w:val="00E2206E"/>
    <w:rsid w:val="00E2366C"/>
    <w:rsid w:val="00E249F1"/>
    <w:rsid w:val="00E259A5"/>
    <w:rsid w:val="00E31442"/>
    <w:rsid w:val="00E337CC"/>
    <w:rsid w:val="00E3386E"/>
    <w:rsid w:val="00E34F7D"/>
    <w:rsid w:val="00E401FF"/>
    <w:rsid w:val="00E413AE"/>
    <w:rsid w:val="00E43E6B"/>
    <w:rsid w:val="00E462EF"/>
    <w:rsid w:val="00E4757F"/>
    <w:rsid w:val="00E504B7"/>
    <w:rsid w:val="00E51486"/>
    <w:rsid w:val="00E53BA4"/>
    <w:rsid w:val="00E55075"/>
    <w:rsid w:val="00E55D8F"/>
    <w:rsid w:val="00E56F33"/>
    <w:rsid w:val="00E614CC"/>
    <w:rsid w:val="00E61603"/>
    <w:rsid w:val="00E61FDA"/>
    <w:rsid w:val="00E622EA"/>
    <w:rsid w:val="00E642B2"/>
    <w:rsid w:val="00E64436"/>
    <w:rsid w:val="00E6516C"/>
    <w:rsid w:val="00E709BF"/>
    <w:rsid w:val="00E72F93"/>
    <w:rsid w:val="00E7314D"/>
    <w:rsid w:val="00E74300"/>
    <w:rsid w:val="00E746AF"/>
    <w:rsid w:val="00E74A1B"/>
    <w:rsid w:val="00E7746D"/>
    <w:rsid w:val="00E813A4"/>
    <w:rsid w:val="00E81AA7"/>
    <w:rsid w:val="00E82537"/>
    <w:rsid w:val="00E838BD"/>
    <w:rsid w:val="00E842F5"/>
    <w:rsid w:val="00E85FEF"/>
    <w:rsid w:val="00E86974"/>
    <w:rsid w:val="00E90C37"/>
    <w:rsid w:val="00E91062"/>
    <w:rsid w:val="00E96CA3"/>
    <w:rsid w:val="00E976D7"/>
    <w:rsid w:val="00EA1DC0"/>
    <w:rsid w:val="00EA2954"/>
    <w:rsid w:val="00EA4CCA"/>
    <w:rsid w:val="00EB1912"/>
    <w:rsid w:val="00EB4437"/>
    <w:rsid w:val="00EB4B66"/>
    <w:rsid w:val="00EB5F98"/>
    <w:rsid w:val="00EB7BE3"/>
    <w:rsid w:val="00EC0429"/>
    <w:rsid w:val="00EC21ED"/>
    <w:rsid w:val="00EC3618"/>
    <w:rsid w:val="00EC74F3"/>
    <w:rsid w:val="00ED1FB1"/>
    <w:rsid w:val="00ED2AF0"/>
    <w:rsid w:val="00ED4E55"/>
    <w:rsid w:val="00ED63FB"/>
    <w:rsid w:val="00EE1F56"/>
    <w:rsid w:val="00EE4A7F"/>
    <w:rsid w:val="00EE4ECD"/>
    <w:rsid w:val="00EF0194"/>
    <w:rsid w:val="00EF09BD"/>
    <w:rsid w:val="00EF0CAF"/>
    <w:rsid w:val="00EF2782"/>
    <w:rsid w:val="00EF40E0"/>
    <w:rsid w:val="00EF4C3B"/>
    <w:rsid w:val="00EF74E0"/>
    <w:rsid w:val="00F00885"/>
    <w:rsid w:val="00F00BB8"/>
    <w:rsid w:val="00F01F40"/>
    <w:rsid w:val="00F02169"/>
    <w:rsid w:val="00F03C46"/>
    <w:rsid w:val="00F07CCA"/>
    <w:rsid w:val="00F11AB7"/>
    <w:rsid w:val="00F131DD"/>
    <w:rsid w:val="00F13CAA"/>
    <w:rsid w:val="00F1495A"/>
    <w:rsid w:val="00F1560F"/>
    <w:rsid w:val="00F16327"/>
    <w:rsid w:val="00F17668"/>
    <w:rsid w:val="00F2001A"/>
    <w:rsid w:val="00F203E8"/>
    <w:rsid w:val="00F2350E"/>
    <w:rsid w:val="00F23E4D"/>
    <w:rsid w:val="00F26571"/>
    <w:rsid w:val="00F26E66"/>
    <w:rsid w:val="00F27223"/>
    <w:rsid w:val="00F35813"/>
    <w:rsid w:val="00F36D72"/>
    <w:rsid w:val="00F3736D"/>
    <w:rsid w:val="00F37864"/>
    <w:rsid w:val="00F37D5D"/>
    <w:rsid w:val="00F40C0A"/>
    <w:rsid w:val="00F40DA5"/>
    <w:rsid w:val="00F42121"/>
    <w:rsid w:val="00F42516"/>
    <w:rsid w:val="00F45979"/>
    <w:rsid w:val="00F51E94"/>
    <w:rsid w:val="00F521F7"/>
    <w:rsid w:val="00F52835"/>
    <w:rsid w:val="00F568B5"/>
    <w:rsid w:val="00F57032"/>
    <w:rsid w:val="00F6503E"/>
    <w:rsid w:val="00F654E7"/>
    <w:rsid w:val="00F66FDC"/>
    <w:rsid w:val="00F670DC"/>
    <w:rsid w:val="00F700F9"/>
    <w:rsid w:val="00F7114C"/>
    <w:rsid w:val="00F72BD9"/>
    <w:rsid w:val="00F7308E"/>
    <w:rsid w:val="00F741D1"/>
    <w:rsid w:val="00F7561C"/>
    <w:rsid w:val="00F75D39"/>
    <w:rsid w:val="00F7654C"/>
    <w:rsid w:val="00F85EF0"/>
    <w:rsid w:val="00F87853"/>
    <w:rsid w:val="00F87953"/>
    <w:rsid w:val="00F87F43"/>
    <w:rsid w:val="00F9127E"/>
    <w:rsid w:val="00F929A1"/>
    <w:rsid w:val="00F934D6"/>
    <w:rsid w:val="00FA0709"/>
    <w:rsid w:val="00FA403B"/>
    <w:rsid w:val="00FA5A6F"/>
    <w:rsid w:val="00FA60AA"/>
    <w:rsid w:val="00FA68DA"/>
    <w:rsid w:val="00FA701C"/>
    <w:rsid w:val="00FB0C07"/>
    <w:rsid w:val="00FB0C71"/>
    <w:rsid w:val="00FB1939"/>
    <w:rsid w:val="00FB1E67"/>
    <w:rsid w:val="00FB2E55"/>
    <w:rsid w:val="00FB3017"/>
    <w:rsid w:val="00FB3F63"/>
    <w:rsid w:val="00FB4E5D"/>
    <w:rsid w:val="00FB4EB7"/>
    <w:rsid w:val="00FB6DB7"/>
    <w:rsid w:val="00FC1058"/>
    <w:rsid w:val="00FC609B"/>
    <w:rsid w:val="00FC6E0B"/>
    <w:rsid w:val="00FC776C"/>
    <w:rsid w:val="00FD45E4"/>
    <w:rsid w:val="00FD70DA"/>
    <w:rsid w:val="00FE06D2"/>
    <w:rsid w:val="00FE25B7"/>
    <w:rsid w:val="00FE30D1"/>
    <w:rsid w:val="00FE37DB"/>
    <w:rsid w:val="00FE4D17"/>
    <w:rsid w:val="00FE5A48"/>
    <w:rsid w:val="00FE5F15"/>
    <w:rsid w:val="00FE71F1"/>
    <w:rsid w:val="00FE7E05"/>
    <w:rsid w:val="00FF0F91"/>
    <w:rsid w:val="00FF1E6F"/>
    <w:rsid w:val="00FF4608"/>
    <w:rsid w:val="00FF54A7"/>
    <w:rsid w:val="00FF5DEA"/>
    <w:rsid w:val="00FF6C1C"/>
    <w:rsid w:val="00FF7D64"/>
    <w:rsid w:val="038686E3"/>
    <w:rsid w:val="0568058C"/>
    <w:rsid w:val="05B8DA7D"/>
    <w:rsid w:val="0724535D"/>
    <w:rsid w:val="07AE4154"/>
    <w:rsid w:val="09D62A89"/>
    <w:rsid w:val="0E9C61B4"/>
    <w:rsid w:val="0EB51F9F"/>
    <w:rsid w:val="0F1B951C"/>
    <w:rsid w:val="0F4F1964"/>
    <w:rsid w:val="103366ED"/>
    <w:rsid w:val="11EBF618"/>
    <w:rsid w:val="1544ABC2"/>
    <w:rsid w:val="17EF5546"/>
    <w:rsid w:val="19FAC6A3"/>
    <w:rsid w:val="1A6B5A4E"/>
    <w:rsid w:val="1AB83DC8"/>
    <w:rsid w:val="1C4F700A"/>
    <w:rsid w:val="2020EDEB"/>
    <w:rsid w:val="218C8F04"/>
    <w:rsid w:val="23591A68"/>
    <w:rsid w:val="236A2F26"/>
    <w:rsid w:val="250D4698"/>
    <w:rsid w:val="25F483F4"/>
    <w:rsid w:val="27F6B021"/>
    <w:rsid w:val="2911AF1A"/>
    <w:rsid w:val="2A2A8209"/>
    <w:rsid w:val="2B6B5B47"/>
    <w:rsid w:val="2D79BABB"/>
    <w:rsid w:val="2EA2C938"/>
    <w:rsid w:val="2F4A0D58"/>
    <w:rsid w:val="2F72E9D2"/>
    <w:rsid w:val="2FAB3D05"/>
    <w:rsid w:val="2FF21AC6"/>
    <w:rsid w:val="3056C5D7"/>
    <w:rsid w:val="3142CE15"/>
    <w:rsid w:val="320735A6"/>
    <w:rsid w:val="329BD296"/>
    <w:rsid w:val="32DDBDD8"/>
    <w:rsid w:val="33320DB5"/>
    <w:rsid w:val="33DBBE54"/>
    <w:rsid w:val="3492AC55"/>
    <w:rsid w:val="3668D910"/>
    <w:rsid w:val="36C57DBB"/>
    <w:rsid w:val="3A42C339"/>
    <w:rsid w:val="3A8D5777"/>
    <w:rsid w:val="3AA3BD4D"/>
    <w:rsid w:val="3DE0563D"/>
    <w:rsid w:val="3E2482E3"/>
    <w:rsid w:val="40F080B7"/>
    <w:rsid w:val="422DFCCF"/>
    <w:rsid w:val="4379D923"/>
    <w:rsid w:val="438DBFE6"/>
    <w:rsid w:val="439931A1"/>
    <w:rsid w:val="4772B8CC"/>
    <w:rsid w:val="486DE2F1"/>
    <w:rsid w:val="48BFBF94"/>
    <w:rsid w:val="494ED776"/>
    <w:rsid w:val="49777442"/>
    <w:rsid w:val="4B48C628"/>
    <w:rsid w:val="4B805B87"/>
    <w:rsid w:val="4C72D4E9"/>
    <w:rsid w:val="4C9CB5AB"/>
    <w:rsid w:val="4D112F64"/>
    <w:rsid w:val="4E41FCBB"/>
    <w:rsid w:val="4F7C5711"/>
    <w:rsid w:val="50398D8D"/>
    <w:rsid w:val="51B2DDA8"/>
    <w:rsid w:val="51DB15CD"/>
    <w:rsid w:val="51E8D493"/>
    <w:rsid w:val="523A3AD5"/>
    <w:rsid w:val="56291A61"/>
    <w:rsid w:val="577684EE"/>
    <w:rsid w:val="57AC6C15"/>
    <w:rsid w:val="57C3CE0A"/>
    <w:rsid w:val="57D5A059"/>
    <w:rsid w:val="58A7E8C2"/>
    <w:rsid w:val="5A7B643E"/>
    <w:rsid w:val="5C049A7B"/>
    <w:rsid w:val="5E383992"/>
    <w:rsid w:val="6067461D"/>
    <w:rsid w:val="60CA1AA9"/>
    <w:rsid w:val="6211C19F"/>
    <w:rsid w:val="6221CD86"/>
    <w:rsid w:val="6439E1EC"/>
    <w:rsid w:val="64A1B99A"/>
    <w:rsid w:val="64F42CBA"/>
    <w:rsid w:val="659C6CF9"/>
    <w:rsid w:val="66A03BD3"/>
    <w:rsid w:val="67B5AB26"/>
    <w:rsid w:val="68644459"/>
    <w:rsid w:val="6A6F3AE7"/>
    <w:rsid w:val="6A8D419A"/>
    <w:rsid w:val="6B2696AB"/>
    <w:rsid w:val="6B83D98F"/>
    <w:rsid w:val="6C4E478C"/>
    <w:rsid w:val="6D78237C"/>
    <w:rsid w:val="6D8171C8"/>
    <w:rsid w:val="6F525F07"/>
    <w:rsid w:val="70CE169F"/>
    <w:rsid w:val="70D09518"/>
    <w:rsid w:val="71C30882"/>
    <w:rsid w:val="725740CB"/>
    <w:rsid w:val="73FE951F"/>
    <w:rsid w:val="741E2879"/>
    <w:rsid w:val="744E3B90"/>
    <w:rsid w:val="75082575"/>
    <w:rsid w:val="756D99D4"/>
    <w:rsid w:val="77194446"/>
    <w:rsid w:val="782FA3FB"/>
    <w:rsid w:val="787C6AF9"/>
    <w:rsid w:val="799175A5"/>
    <w:rsid w:val="7B15E411"/>
    <w:rsid w:val="7B7FA60C"/>
    <w:rsid w:val="7D1FD805"/>
    <w:rsid w:val="7EE5F1D8"/>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3082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37"/>
    <w:pPr>
      <w:spacing w:line="480" w:lineRule="auto"/>
      <w:ind w:firstLine="709"/>
    </w:pPr>
    <w:rPr>
      <w:rFonts w:ascii="Times New Roman" w:eastAsia="Calibri" w:hAnsi="Times New Roman" w:cs="Times New Roman"/>
      <w:szCs w:val="22"/>
      <w:lang w:val="es-ES" w:eastAsia="es-ES_tradnl"/>
    </w:rPr>
  </w:style>
  <w:style w:type="paragraph" w:styleId="Ttulo1">
    <w:name w:val="heading 1"/>
    <w:basedOn w:val="Normal"/>
    <w:next w:val="Normal"/>
    <w:link w:val="Ttulo1Car"/>
    <w:uiPriority w:val="9"/>
    <w:qFormat/>
    <w:rsid w:val="004B3CCD"/>
    <w:pPr>
      <w:jc w:val="center"/>
      <w:outlineLvl w:val="0"/>
    </w:pPr>
    <w:rPr>
      <w:rFonts w:eastAsia="Times New Roman"/>
      <w:b/>
      <w:bCs/>
    </w:rPr>
  </w:style>
  <w:style w:type="paragraph" w:styleId="Ttulo2">
    <w:name w:val="heading 2"/>
    <w:basedOn w:val="Normal"/>
    <w:next w:val="Normal"/>
    <w:link w:val="Ttulo2Car"/>
    <w:uiPriority w:val="9"/>
    <w:unhideWhenUsed/>
    <w:qFormat/>
    <w:rsid w:val="002E053E"/>
    <w:pPr>
      <w:keepNext/>
      <w:keepLines/>
      <w:ind w:left="397" w:hanging="397"/>
      <w:outlineLvl w:val="1"/>
    </w:pPr>
    <w:rPr>
      <w:rFonts w:eastAsia="Times New Roman"/>
      <w:b/>
      <w:bCs/>
      <w:i/>
      <w:iCs/>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3CCD"/>
    <w:rPr>
      <w:rFonts w:ascii="Times New Roman" w:eastAsia="Times New Roman" w:hAnsi="Times New Roman" w:cs="Times New Roman"/>
      <w:b/>
      <w:bCs/>
      <w:szCs w:val="22"/>
      <w:lang w:val="es-ES" w:eastAsia="es-ES_tradnl"/>
    </w:rPr>
  </w:style>
  <w:style w:type="character" w:customStyle="1" w:styleId="Ttulo2Car">
    <w:name w:val="Título 2 Car"/>
    <w:basedOn w:val="Fuentedeprrafopredeter"/>
    <w:link w:val="Ttulo2"/>
    <w:uiPriority w:val="9"/>
    <w:rsid w:val="002E053E"/>
    <w:rPr>
      <w:rFonts w:ascii="Times New Roman" w:eastAsia="Times New Roman" w:hAnsi="Times New Roman" w:cs="Times New Roman"/>
      <w:b/>
      <w:bCs/>
      <w:i/>
      <w:iCs/>
      <w:lang w:val="en-US" w:eastAsia="es-ES_tradnl"/>
    </w:rPr>
  </w:style>
  <w:style w:type="character" w:styleId="Hipervnculo">
    <w:name w:val="Hyperlink"/>
    <w:uiPriority w:val="99"/>
    <w:unhideWhenUsed/>
    <w:rsid w:val="004B3CCD"/>
    <w:rPr>
      <w:color w:val="0563C1"/>
      <w:u w:val="single"/>
    </w:rPr>
  </w:style>
  <w:style w:type="paragraph" w:styleId="Descripcin">
    <w:name w:val="caption"/>
    <w:basedOn w:val="Normal"/>
    <w:next w:val="Normal"/>
    <w:uiPriority w:val="35"/>
    <w:unhideWhenUsed/>
    <w:qFormat/>
    <w:rsid w:val="004B3CCD"/>
    <w:pPr>
      <w:spacing w:before="120" w:line="240" w:lineRule="auto"/>
    </w:pPr>
    <w:rPr>
      <w:b/>
      <w:iCs/>
      <w:szCs w:val="18"/>
    </w:rPr>
  </w:style>
  <w:style w:type="paragraph" w:styleId="Piedepgina">
    <w:name w:val="footer"/>
    <w:basedOn w:val="Normal"/>
    <w:link w:val="PiedepginaCar"/>
    <w:uiPriority w:val="99"/>
    <w:unhideWhenUsed/>
    <w:rsid w:val="004B3CC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3CCD"/>
    <w:rPr>
      <w:rFonts w:ascii="Times New Roman" w:eastAsia="Calibri" w:hAnsi="Times New Roman" w:cs="Times New Roman"/>
      <w:szCs w:val="22"/>
      <w:lang w:val="es-ES" w:eastAsia="es-ES_tradnl"/>
    </w:rPr>
  </w:style>
  <w:style w:type="character" w:styleId="Nmerodepgina">
    <w:name w:val="page number"/>
    <w:basedOn w:val="Fuentedeprrafopredeter"/>
    <w:uiPriority w:val="99"/>
    <w:semiHidden/>
    <w:unhideWhenUsed/>
    <w:rsid w:val="004B3CCD"/>
  </w:style>
  <w:style w:type="character" w:styleId="Nmerodelnea">
    <w:name w:val="line number"/>
    <w:basedOn w:val="Fuentedeprrafopredeter"/>
    <w:uiPriority w:val="99"/>
    <w:semiHidden/>
    <w:unhideWhenUsed/>
    <w:rsid w:val="00323444"/>
  </w:style>
  <w:style w:type="character" w:styleId="Refdecomentario">
    <w:name w:val="annotation reference"/>
    <w:basedOn w:val="Fuentedeprrafopredeter"/>
    <w:uiPriority w:val="99"/>
    <w:semiHidden/>
    <w:unhideWhenUsed/>
    <w:rsid w:val="009476C3"/>
    <w:rPr>
      <w:sz w:val="16"/>
      <w:szCs w:val="16"/>
    </w:rPr>
  </w:style>
  <w:style w:type="paragraph" w:styleId="Textocomentario">
    <w:name w:val="annotation text"/>
    <w:basedOn w:val="Normal"/>
    <w:link w:val="TextocomentarioCar"/>
    <w:uiPriority w:val="99"/>
    <w:unhideWhenUsed/>
    <w:rsid w:val="009476C3"/>
    <w:pPr>
      <w:spacing w:line="240" w:lineRule="auto"/>
    </w:pPr>
    <w:rPr>
      <w:sz w:val="20"/>
      <w:szCs w:val="20"/>
    </w:rPr>
  </w:style>
  <w:style w:type="character" w:customStyle="1" w:styleId="TextocomentarioCar">
    <w:name w:val="Texto comentario Car"/>
    <w:basedOn w:val="Fuentedeprrafopredeter"/>
    <w:link w:val="Textocomentario"/>
    <w:uiPriority w:val="99"/>
    <w:rsid w:val="009476C3"/>
    <w:rPr>
      <w:rFonts w:ascii="Times New Roman" w:eastAsia="Calibri"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9476C3"/>
    <w:rPr>
      <w:b/>
      <w:bCs/>
    </w:rPr>
  </w:style>
  <w:style w:type="character" w:customStyle="1" w:styleId="AsuntodelcomentarioCar">
    <w:name w:val="Asunto del comentario Car"/>
    <w:basedOn w:val="TextocomentarioCar"/>
    <w:link w:val="Asuntodelcomentario"/>
    <w:uiPriority w:val="99"/>
    <w:semiHidden/>
    <w:rsid w:val="009476C3"/>
    <w:rPr>
      <w:rFonts w:ascii="Times New Roman" w:eastAsia="Calibri" w:hAnsi="Times New Roman" w:cs="Times New Roman"/>
      <w:b/>
      <w:bCs/>
      <w:sz w:val="20"/>
      <w:szCs w:val="20"/>
      <w:lang w:val="es-ES" w:eastAsia="es-ES_tradnl"/>
    </w:rPr>
  </w:style>
  <w:style w:type="paragraph" w:styleId="Encabezado">
    <w:name w:val="header"/>
    <w:basedOn w:val="Normal"/>
    <w:link w:val="EncabezadoCar"/>
    <w:uiPriority w:val="99"/>
    <w:unhideWhenUsed/>
    <w:rsid w:val="002D7D9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D7D99"/>
    <w:rPr>
      <w:rFonts w:ascii="Times New Roman" w:eastAsia="Calibri" w:hAnsi="Times New Roman" w:cs="Times New Roman"/>
      <w:szCs w:val="22"/>
      <w:lang w:val="es-ES" w:eastAsia="es-ES_tradnl"/>
    </w:rPr>
  </w:style>
  <w:style w:type="character" w:customStyle="1" w:styleId="UnresolvedMention1">
    <w:name w:val="Unresolved Mention1"/>
    <w:basedOn w:val="Fuentedeprrafopredeter"/>
    <w:uiPriority w:val="99"/>
    <w:rsid w:val="00327F82"/>
    <w:rPr>
      <w:color w:val="605E5C"/>
      <w:shd w:val="clear" w:color="auto" w:fill="E1DFDD"/>
    </w:rPr>
  </w:style>
  <w:style w:type="paragraph" w:styleId="Sinespaciado">
    <w:name w:val="No Spacing"/>
    <w:basedOn w:val="Normal"/>
    <w:uiPriority w:val="1"/>
    <w:qFormat/>
    <w:rsid w:val="001F383C"/>
    <w:pPr>
      <w:spacing w:line="240" w:lineRule="auto"/>
      <w:ind w:firstLine="0"/>
    </w:pPr>
    <w:rPr>
      <w:rFonts w:eastAsia="Times New Roman"/>
      <w:color w:val="000000"/>
      <w:sz w:val="16"/>
      <w:szCs w:val="16"/>
      <w:lang w:val="es-EC" w:eastAsia="es-EC"/>
    </w:rPr>
  </w:style>
  <w:style w:type="paragraph" w:styleId="Revisin">
    <w:name w:val="Revision"/>
    <w:hidden/>
    <w:uiPriority w:val="99"/>
    <w:semiHidden/>
    <w:rsid w:val="00AF1F2D"/>
    <w:rPr>
      <w:rFonts w:ascii="Times New Roman" w:eastAsia="Calibri" w:hAnsi="Times New Roman" w:cs="Times New Roman"/>
      <w:szCs w:val="22"/>
      <w:lang w:val="es-ES" w:eastAsia="es-ES_tradnl"/>
    </w:rPr>
  </w:style>
  <w:style w:type="character" w:customStyle="1" w:styleId="red-underline">
    <w:name w:val="red-underline"/>
    <w:basedOn w:val="Fuentedeprrafopredeter"/>
    <w:rsid w:val="001C2EDF"/>
  </w:style>
  <w:style w:type="paragraph" w:customStyle="1" w:styleId="Correspondencedetails">
    <w:name w:val="Correspondence details"/>
    <w:basedOn w:val="Normal"/>
    <w:qFormat/>
    <w:rsid w:val="003C5250"/>
    <w:pPr>
      <w:spacing w:before="240" w:line="360" w:lineRule="auto"/>
      <w:ind w:firstLine="0"/>
    </w:pPr>
    <w:rPr>
      <w:rFonts w:eastAsia="Times New Roman"/>
      <w:szCs w:val="24"/>
      <w:lang w:val="en-GB" w:eastAsia="en-GB"/>
    </w:rPr>
  </w:style>
  <w:style w:type="character" w:styleId="Hipervnculovisitado">
    <w:name w:val="FollowedHyperlink"/>
    <w:basedOn w:val="Fuentedeprrafopredeter"/>
    <w:uiPriority w:val="99"/>
    <w:semiHidden/>
    <w:unhideWhenUsed/>
    <w:rsid w:val="001C4048"/>
    <w:rPr>
      <w:color w:val="954F72" w:themeColor="followedHyperlink"/>
      <w:u w:val="single"/>
    </w:rPr>
  </w:style>
  <w:style w:type="character" w:styleId="Mencinsinresolver">
    <w:name w:val="Unresolved Mention"/>
    <w:basedOn w:val="Fuentedeprrafopredeter"/>
    <w:uiPriority w:val="99"/>
    <w:rsid w:val="00C51314"/>
    <w:rPr>
      <w:color w:val="605E5C"/>
      <w:shd w:val="clear" w:color="auto" w:fill="E1DFDD"/>
    </w:rPr>
  </w:style>
  <w:style w:type="paragraph" w:styleId="Prrafodelista">
    <w:name w:val="List Paragraph"/>
    <w:basedOn w:val="Normal"/>
    <w:uiPriority w:val="34"/>
    <w:qFormat/>
    <w:rsid w:val="00D21D8C"/>
    <w:pPr>
      <w:spacing w:line="240" w:lineRule="auto"/>
      <w:ind w:left="720" w:firstLine="0"/>
      <w:contextualSpacing/>
    </w:pPr>
    <w:rPr>
      <w:rFonts w:asciiTheme="minorHAnsi" w:eastAsiaTheme="minorHAnsi" w:hAnsiTheme="minorHAnsi" w:cstheme="minorBidi"/>
      <w:szCs w:val="24"/>
      <w:lang w:val="es-ES_tradnl" w:eastAsia="en-US"/>
    </w:rPr>
  </w:style>
  <w:style w:type="paragraph" w:customStyle="1" w:styleId="pf0">
    <w:name w:val="pf0"/>
    <w:basedOn w:val="Normal"/>
    <w:rsid w:val="00BA6FBD"/>
    <w:pPr>
      <w:spacing w:before="100" w:beforeAutospacing="1" w:after="100" w:afterAutospacing="1" w:line="240" w:lineRule="auto"/>
      <w:ind w:firstLine="0"/>
    </w:pPr>
    <w:rPr>
      <w:rFonts w:eastAsia="Times New Roman"/>
      <w:szCs w:val="24"/>
      <w:lang w:val="es-EC" w:eastAsia="es-EC"/>
    </w:rPr>
  </w:style>
  <w:style w:type="character" w:customStyle="1" w:styleId="cf01">
    <w:name w:val="cf01"/>
    <w:basedOn w:val="Fuentedeprrafopredeter"/>
    <w:rsid w:val="00BA6FBD"/>
    <w:rPr>
      <w:rFonts w:ascii="Segoe UI" w:hAnsi="Segoe UI" w:cs="Segoe UI" w:hint="default"/>
      <w:sz w:val="18"/>
      <w:szCs w:val="18"/>
    </w:rPr>
  </w:style>
  <w:style w:type="paragraph" w:styleId="NormalWeb">
    <w:name w:val="Normal (Web)"/>
    <w:basedOn w:val="Normal"/>
    <w:uiPriority w:val="99"/>
    <w:semiHidden/>
    <w:unhideWhenUsed/>
    <w:rsid w:val="00FB6DB7"/>
    <w:pPr>
      <w:spacing w:before="100" w:beforeAutospacing="1" w:after="100" w:afterAutospacing="1" w:line="240" w:lineRule="auto"/>
      <w:ind w:firstLine="0"/>
    </w:pPr>
    <w:rPr>
      <w:rFonts w:eastAsia="Times New Roman"/>
      <w:szCs w:val="24"/>
      <w:lang w:val="es-EC" w:eastAsia="es-EC"/>
    </w:rPr>
  </w:style>
  <w:style w:type="paragraph" w:customStyle="1" w:styleId="Authornames">
    <w:name w:val="Author names"/>
    <w:basedOn w:val="Normal"/>
    <w:next w:val="Normal"/>
    <w:qFormat/>
    <w:rsid w:val="00B166B1"/>
    <w:pPr>
      <w:spacing w:before="240" w:line="360" w:lineRule="auto"/>
      <w:ind w:firstLine="0"/>
    </w:pPr>
    <w:rPr>
      <w:rFonts w:eastAsia="Times New Roman"/>
      <w:sz w:val="28"/>
      <w:szCs w:val="24"/>
      <w:lang w:val="en-GB" w:eastAsia="en-GB"/>
    </w:rPr>
  </w:style>
  <w:style w:type="paragraph" w:customStyle="1" w:styleId="Affiliation">
    <w:name w:val="Affiliation"/>
    <w:basedOn w:val="Normal"/>
    <w:qFormat/>
    <w:rsid w:val="00B166B1"/>
    <w:pPr>
      <w:spacing w:before="240" w:line="360" w:lineRule="auto"/>
      <w:ind w:firstLine="0"/>
    </w:pPr>
    <w:rPr>
      <w:rFonts w:eastAsia="Times New Roman"/>
      <w:i/>
      <w:szCs w:val="24"/>
      <w:lang w:val="en-GB" w:eastAsia="en-GB"/>
    </w:rPr>
  </w:style>
  <w:style w:type="table" w:styleId="Tablaconcuadrcula">
    <w:name w:val="Table Grid"/>
    <w:basedOn w:val="Tablanormal"/>
    <w:uiPriority w:val="39"/>
    <w:rsid w:val="002E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101">
      <w:bodyDiv w:val="1"/>
      <w:marLeft w:val="0"/>
      <w:marRight w:val="0"/>
      <w:marTop w:val="0"/>
      <w:marBottom w:val="0"/>
      <w:divBdr>
        <w:top w:val="none" w:sz="0" w:space="0" w:color="auto"/>
        <w:left w:val="none" w:sz="0" w:space="0" w:color="auto"/>
        <w:bottom w:val="none" w:sz="0" w:space="0" w:color="auto"/>
        <w:right w:val="none" w:sz="0" w:space="0" w:color="auto"/>
      </w:divBdr>
    </w:div>
    <w:div w:id="981931500">
      <w:bodyDiv w:val="1"/>
      <w:marLeft w:val="0"/>
      <w:marRight w:val="0"/>
      <w:marTop w:val="0"/>
      <w:marBottom w:val="0"/>
      <w:divBdr>
        <w:top w:val="none" w:sz="0" w:space="0" w:color="auto"/>
        <w:left w:val="none" w:sz="0" w:space="0" w:color="auto"/>
        <w:bottom w:val="none" w:sz="0" w:space="0" w:color="auto"/>
        <w:right w:val="none" w:sz="0" w:space="0" w:color="auto"/>
      </w:divBdr>
    </w:div>
    <w:div w:id="1075783353">
      <w:bodyDiv w:val="1"/>
      <w:marLeft w:val="0"/>
      <w:marRight w:val="0"/>
      <w:marTop w:val="0"/>
      <w:marBottom w:val="0"/>
      <w:divBdr>
        <w:top w:val="none" w:sz="0" w:space="0" w:color="auto"/>
        <w:left w:val="none" w:sz="0" w:space="0" w:color="auto"/>
        <w:bottom w:val="none" w:sz="0" w:space="0" w:color="auto"/>
        <w:right w:val="none" w:sz="0" w:space="0" w:color="auto"/>
      </w:divBdr>
    </w:div>
    <w:div w:id="1418330626">
      <w:bodyDiv w:val="1"/>
      <w:marLeft w:val="0"/>
      <w:marRight w:val="0"/>
      <w:marTop w:val="0"/>
      <w:marBottom w:val="0"/>
      <w:divBdr>
        <w:top w:val="none" w:sz="0" w:space="0" w:color="auto"/>
        <w:left w:val="none" w:sz="0" w:space="0" w:color="auto"/>
        <w:bottom w:val="none" w:sz="0" w:space="0" w:color="auto"/>
        <w:right w:val="none" w:sz="0" w:space="0" w:color="auto"/>
      </w:divBdr>
    </w:div>
    <w:div w:id="1548175849">
      <w:bodyDiv w:val="1"/>
      <w:marLeft w:val="0"/>
      <w:marRight w:val="0"/>
      <w:marTop w:val="0"/>
      <w:marBottom w:val="0"/>
      <w:divBdr>
        <w:top w:val="none" w:sz="0" w:space="0" w:color="auto"/>
        <w:left w:val="none" w:sz="0" w:space="0" w:color="auto"/>
        <w:bottom w:val="none" w:sz="0" w:space="0" w:color="auto"/>
        <w:right w:val="none" w:sz="0" w:space="0" w:color="auto"/>
      </w:divBdr>
    </w:div>
    <w:div w:id="15566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celo.bernal@ucuenca.edu.ec" TargetMode="External"/><Relationship Id="rId18" Type="http://schemas.openxmlformats.org/officeDocument/2006/relationships/hyperlink" Target="https://doi.org/10.1111/opo.12316" TargetMode="External"/><Relationship Id="rId26" Type="http://schemas.openxmlformats.org/officeDocument/2006/relationships/hyperlink" Target="https://doi.org/10.1111/j.1467-9817.2005.00274.x" TargetMode="External"/><Relationship Id="rId39" Type="http://schemas.openxmlformats.org/officeDocument/2006/relationships/hyperlink" Target="https://doi.org/10.5935/0004-2749.20210069" TargetMode="External"/><Relationship Id="rId21" Type="http://schemas.openxmlformats.org/officeDocument/2006/relationships/hyperlink" Target="https://doi.org/10.30554/tempuspsi.6.1.4733.2023" TargetMode="External"/><Relationship Id="rId34" Type="http://schemas.openxmlformats.org/officeDocument/2006/relationships/hyperlink" Target="https://doi.org/10.1046/j.1475-1313.2002.00009.x" TargetMode="External"/><Relationship Id="rId42" Type="http://schemas.openxmlformats.org/officeDocument/2006/relationships/hyperlink" Target="https://doi.org/10.1068/p5045"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3588/rn.36s1.2003068" TargetMode="External"/><Relationship Id="rId29" Type="http://schemas.openxmlformats.org/officeDocument/2006/relationships/hyperlink" Target="https://doi.org/10.1111/j.1444-0938.2008.00277.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osua@psi.uned.es" TargetMode="External"/><Relationship Id="rId24" Type="http://schemas.openxmlformats.org/officeDocument/2006/relationships/hyperlink" Target="https://www.ecuadorencifras.gob.ec/encuesta-de-estratificacion-del-nivel-socioeconomico/" TargetMode="External"/><Relationship Id="rId32" Type="http://schemas.openxmlformats.org/officeDocument/2006/relationships/hyperlink" Target="https://doi.org/10.1542/peds.2011-0314" TargetMode="External"/><Relationship Id="rId37" Type="http://schemas.openxmlformats.org/officeDocument/2006/relationships/hyperlink" Target="https://doi.org/10.18537/mskn.09.01.02" TargetMode="External"/><Relationship Id="rId40" Type="http://schemas.openxmlformats.org/officeDocument/2006/relationships/hyperlink" Target="https://doi.org/10.1111/1467-9817.00132"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aic.org.au/images/books/Understanding_Irlen_Syndrome_Booklet.pdf" TargetMode="External"/><Relationship Id="rId23" Type="http://schemas.openxmlformats.org/officeDocument/2006/relationships/hyperlink" Target="https://doi.org/10.1007/s11145-021-10176-z" TargetMode="External"/><Relationship Id="rId28" Type="http://schemas.openxmlformats.org/officeDocument/2006/relationships/hyperlink" Target="https://doi.org/10.1016/j.optom.2014.10.001" TargetMode="External"/><Relationship Id="rId36" Type="http://schemas.openxmlformats.org/officeDocument/2006/relationships/hyperlink" Target="https://doi.org/10.3390/brainsci8020026" TargetMode="External"/><Relationship Id="rId10" Type="http://schemas.openxmlformats.org/officeDocument/2006/relationships/hyperlink" Target="https://orcid.org/0000-0003-0122-6231" TargetMode="External"/><Relationship Id="rId19" Type="http://schemas.openxmlformats.org/officeDocument/2006/relationships/hyperlink" Target="https://doi.org/10.13140/RG.2.1.5028.9049" TargetMode="External"/><Relationship Id="rId31" Type="http://schemas.openxmlformats.org/officeDocument/2006/relationships/hyperlink" Target="https://doi.org/10.1145/3132525.313254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tacuri1@alumno.uned.es" TargetMode="External"/><Relationship Id="rId14" Type="http://schemas.openxmlformats.org/officeDocument/2006/relationships/hyperlink" Target="https://doi.org/10.9756/INT-JECSE/V13I2.211065" TargetMode="External"/><Relationship Id="rId22" Type="http://schemas.openxmlformats.org/officeDocument/2006/relationships/hyperlink" Target="https://doi.org/10.1111/j.1475-1313.2006.00401.x" TargetMode="External"/><Relationship Id="rId27" Type="http://schemas.openxmlformats.org/officeDocument/2006/relationships/hyperlink" Target="https://doi.org/10.1590/0004-282x20190014" TargetMode="External"/><Relationship Id="rId30" Type="http://schemas.openxmlformats.org/officeDocument/2006/relationships/hyperlink" Target="https://doi.org/10.1080/10888438.2013.827687" TargetMode="External"/><Relationship Id="rId35" Type="http://schemas.openxmlformats.org/officeDocument/2006/relationships/hyperlink" Target="https://doi.org/10.1002/dys.186" TargetMode="External"/><Relationship Id="rId43" Type="http://schemas.openxmlformats.org/officeDocument/2006/relationships/hyperlink" Target="http://www.wma.net/en/30publications/10poli%20cies/b3/17c.pdf" TargetMode="External"/><Relationship Id="rId8" Type="http://schemas.openxmlformats.org/officeDocument/2006/relationships/hyperlink" Target="https://orcid.org/0000-0002-6134-6211" TargetMode="External"/><Relationship Id="rId3" Type="http://schemas.openxmlformats.org/officeDocument/2006/relationships/styles" Target="styles.xml"/><Relationship Id="rId12" Type="http://schemas.openxmlformats.org/officeDocument/2006/relationships/hyperlink" Target="https://orcid.org/0000-0002-7802-3793" TargetMode="External"/><Relationship Id="rId17" Type="http://schemas.openxmlformats.org/officeDocument/2006/relationships/hyperlink" Target="https://doi.org/10.1073/pnas.88.18.7943" TargetMode="External"/><Relationship Id="rId25" Type="http://schemas.openxmlformats.org/officeDocument/2006/relationships/hyperlink" Target="https://doi.org/10.1111/j.2044-8295.1997.tb02656.x" TargetMode="External"/><Relationship Id="rId33" Type="http://schemas.openxmlformats.org/officeDocument/2006/relationships/hyperlink" Target="https://doi.org/10.1111/j.1751-228X.2012.01139.x" TargetMode="External"/><Relationship Id="rId38" Type="http://schemas.openxmlformats.org/officeDocument/2006/relationships/hyperlink" Target="https://doi.org/10.3389/fpsyg.2014.00833" TargetMode="External"/><Relationship Id="rId46" Type="http://schemas.openxmlformats.org/officeDocument/2006/relationships/fontTable" Target="fontTable.xml"/><Relationship Id="rId20" Type="http://schemas.openxmlformats.org/officeDocument/2006/relationships/hyperlink" Target="https://doi.org/10.1177/0031512519889772" TargetMode="External"/><Relationship Id="rId41" Type="http://schemas.openxmlformats.org/officeDocument/2006/relationships/hyperlink" Target="https://doi.org/10.1093/brain/107.4.9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A41E-7F4D-485E-B5C7-9C817264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6951</Words>
  <Characters>38231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2024-01-04T16:29:00Z</dcterms:created>
  <dcterms:modified xsi:type="dcterms:W3CDTF">2024-01-04T18:19:00Z</dcterms:modified>
</cp:coreProperties>
</file>